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5FE26" w14:textId="09E2CA57" w:rsidR="003E696A" w:rsidRDefault="00E27F25" w:rsidP="00E27F25">
      <w:pPr>
        <w:spacing w:after="0" w:line="240" w:lineRule="auto"/>
        <w:jc w:val="center"/>
        <w:rPr>
          <w:rFonts w:ascii="Garamond" w:hAnsi="Garamond" w:cs="Arial"/>
          <w:b/>
          <w:bCs/>
          <w:sz w:val="28"/>
          <w:szCs w:val="28"/>
          <w:lang w:val="es-CO"/>
        </w:rPr>
      </w:pPr>
      <w:r w:rsidRPr="00E27F25">
        <w:rPr>
          <w:rFonts w:ascii="Garamond" w:hAnsi="Garamond" w:cs="Arial"/>
          <w:b/>
          <w:bCs/>
          <w:sz w:val="28"/>
          <w:szCs w:val="28"/>
          <w:lang w:val="es-CO"/>
        </w:rPr>
        <w:t>SALON LOS MONJES</w:t>
      </w:r>
    </w:p>
    <w:p w14:paraId="30731A3B" w14:textId="77777777" w:rsidR="00E27F25" w:rsidRPr="00E27F25" w:rsidRDefault="00E27F25" w:rsidP="00E27F25">
      <w:pPr>
        <w:spacing w:after="0" w:line="240" w:lineRule="auto"/>
        <w:jc w:val="center"/>
        <w:rPr>
          <w:rFonts w:ascii="Garamond" w:hAnsi="Garamond" w:cs="Arial"/>
          <w:b/>
          <w:bCs/>
          <w:sz w:val="28"/>
          <w:szCs w:val="28"/>
          <w:lang w:val="es-CO"/>
        </w:rPr>
      </w:pPr>
    </w:p>
    <w:p w14:paraId="30E70A33" w14:textId="77375B5E" w:rsidR="00C84E09" w:rsidRPr="00C84E09" w:rsidRDefault="00E27F25" w:rsidP="00C84E09">
      <w:pPr>
        <w:spacing w:after="0" w:line="240" w:lineRule="auto"/>
        <w:jc w:val="both"/>
        <w:rPr>
          <w:rFonts w:ascii="Garamond" w:hAnsi="Garamond" w:cs="Arial"/>
          <w:sz w:val="22"/>
          <w:szCs w:val="22"/>
        </w:rPr>
      </w:pPr>
      <w:r w:rsidRPr="00E27F25">
        <w:rPr>
          <w:rFonts w:ascii="Garamond" w:hAnsi="Garamond" w:cs="Arial"/>
          <w:sz w:val="22"/>
          <w:szCs w:val="22"/>
        </w:rPr>
        <w:t xml:space="preserve">Que el </w:t>
      </w:r>
      <w:proofErr w:type="spellStart"/>
      <w:r w:rsidRPr="00E27F25">
        <w:rPr>
          <w:rFonts w:ascii="Garamond" w:hAnsi="Garamond" w:cs="Arial"/>
          <w:sz w:val="22"/>
          <w:szCs w:val="22"/>
        </w:rPr>
        <w:t>dia</w:t>
      </w:r>
      <w:proofErr w:type="spellEnd"/>
      <w:r w:rsidRPr="00E27F25">
        <w:rPr>
          <w:rFonts w:ascii="Garamond" w:hAnsi="Garamond" w:cs="Arial"/>
          <w:sz w:val="22"/>
          <w:szCs w:val="22"/>
        </w:rPr>
        <w:t xml:space="preserve"> 12 de noviembre de 2009, se suscribió el Convenio Interadministrativo de Cofinanciación No. 188-2009 entre el Instituto Distrital de la Participación y Acción Comunal-IDPAC y la Alcaldia Local de Engativa, cuyo objeto se estableció de la siguiente forma: "Aunar esfuerzos que permitan el fortalecimiento de las organizaciones comunitarias y la participación ciudadana en el mejoramiento de la calidad de vida de sus comunidades a través de la ejecución directa de obras comunitarias y de esta manera hacer efectivo el mandato constitucional de la democracia participativa", estableciéndose como alcance al objeto el siguiente: "El desarrollo del objeto está determinado por la terminación del proyectos sociales participativos que incluyen la terminación de las obras en los salones comunales de San Joaquin Norte, los Monjes, Villa Sandra, El Verdun y Centauro del Danubio, incluido el monto de </w:t>
      </w:r>
      <w:r w:rsidRPr="00E27F25">
        <w:rPr>
          <w:rFonts w:ascii="Garamond" w:hAnsi="Garamond" w:cs="Arial"/>
          <w:sz w:val="22"/>
          <w:szCs w:val="22"/>
        </w:rPr>
        <w:t>interventoría</w:t>
      </w:r>
      <w:r w:rsidRPr="00E27F25">
        <w:rPr>
          <w:rFonts w:ascii="Garamond" w:hAnsi="Garamond" w:cs="Arial"/>
          <w:sz w:val="22"/>
          <w:szCs w:val="22"/>
        </w:rPr>
        <w:t xml:space="preserve"> de los mismo"</w:t>
      </w:r>
      <w:r w:rsidR="00C84E09">
        <w:rPr>
          <w:rFonts w:ascii="Garamond" w:hAnsi="Garamond" w:cs="Arial"/>
          <w:sz w:val="22"/>
          <w:szCs w:val="22"/>
        </w:rPr>
        <w:t xml:space="preserve"> </w:t>
      </w:r>
      <w:r w:rsidR="00C84E09" w:rsidRPr="00C84E09">
        <w:rPr>
          <w:rFonts w:ascii="Garamond" w:hAnsi="Garamond" w:cs="Arial"/>
          <w:sz w:val="22"/>
          <w:szCs w:val="22"/>
        </w:rPr>
        <w:t>Que el valor del Convenio Interadministrativo de Cofinanciación No. 188-2009, fue por la suma de "SETECIENTOOCHENTA Y DOS MILLONES CUATROCIENTOS SESENTA Y SEIS MIL SETECIENTOS DIEZ PESOS</w:t>
      </w:r>
      <w:r w:rsidR="00C84E09">
        <w:rPr>
          <w:rFonts w:ascii="Garamond" w:hAnsi="Garamond" w:cs="Arial"/>
          <w:sz w:val="22"/>
          <w:szCs w:val="22"/>
        </w:rPr>
        <w:t xml:space="preserve"> </w:t>
      </w:r>
      <w:r w:rsidR="00C84E09" w:rsidRPr="00C84E09">
        <w:rPr>
          <w:rFonts w:ascii="Garamond" w:hAnsi="Garamond" w:cs="Arial"/>
          <w:sz w:val="22"/>
          <w:szCs w:val="22"/>
        </w:rPr>
        <w:t>($782.466.710.00) representados por los aportes del FONDO DE DESARROLLO LOCAL DE ENGATIVA, y por los</w:t>
      </w:r>
      <w:r w:rsidR="00C84E09">
        <w:rPr>
          <w:rFonts w:ascii="Garamond" w:hAnsi="Garamond" w:cs="Arial"/>
          <w:sz w:val="22"/>
          <w:szCs w:val="22"/>
        </w:rPr>
        <w:t xml:space="preserve"> </w:t>
      </w:r>
      <w:r w:rsidR="00C84E09" w:rsidRPr="00C84E09">
        <w:rPr>
          <w:rFonts w:ascii="Garamond" w:hAnsi="Garamond" w:cs="Arial"/>
          <w:sz w:val="22"/>
          <w:szCs w:val="22"/>
        </w:rPr>
        <w:t>aportes del INSTITUTO DISTRITAL DE LA PARTICIPACIÓN Y ACCIÓN COMUNAL por un valor de Ciento CUARENTA</w:t>
      </w:r>
      <w:r w:rsidR="00C84E09">
        <w:rPr>
          <w:rFonts w:ascii="Garamond" w:hAnsi="Garamond" w:cs="Arial"/>
          <w:sz w:val="22"/>
          <w:szCs w:val="22"/>
        </w:rPr>
        <w:t xml:space="preserve"> </w:t>
      </w:r>
      <w:r w:rsidR="00C84E09" w:rsidRPr="00C84E09">
        <w:rPr>
          <w:rFonts w:ascii="Garamond" w:hAnsi="Garamond" w:cs="Arial"/>
          <w:sz w:val="22"/>
          <w:szCs w:val="22"/>
        </w:rPr>
        <w:t>Y NUEVE MILLONES CUARENTA Y UN MIL DOSCIENTOS SETENTA Y NUEVE PESOS ($ 149.041.279) moneda legal,</w:t>
      </w:r>
      <w:r w:rsidR="00C84E09">
        <w:rPr>
          <w:rFonts w:ascii="Garamond" w:hAnsi="Garamond" w:cs="Arial"/>
          <w:sz w:val="22"/>
          <w:szCs w:val="22"/>
        </w:rPr>
        <w:t xml:space="preserve"> </w:t>
      </w:r>
      <w:r w:rsidR="00C84E09" w:rsidRPr="00C84E09">
        <w:rPr>
          <w:rFonts w:ascii="Garamond" w:hAnsi="Garamond" w:cs="Arial"/>
          <w:sz w:val="22"/>
          <w:szCs w:val="22"/>
        </w:rPr>
        <w:t xml:space="preserve">los cuales están representados en el acompañamiento pedagógico, asistencia profesional </w:t>
      </w:r>
      <w:proofErr w:type="spellStart"/>
      <w:r w:rsidR="00C84E09" w:rsidRPr="00C84E09">
        <w:rPr>
          <w:rFonts w:ascii="Garamond" w:hAnsi="Garamond" w:cs="Arial"/>
          <w:sz w:val="22"/>
          <w:szCs w:val="22"/>
        </w:rPr>
        <w:t>juridica</w:t>
      </w:r>
      <w:proofErr w:type="spellEnd"/>
      <w:r w:rsidR="00C84E09" w:rsidRPr="00C84E09">
        <w:rPr>
          <w:rFonts w:ascii="Garamond" w:hAnsi="Garamond" w:cs="Arial"/>
          <w:sz w:val="22"/>
          <w:szCs w:val="22"/>
        </w:rPr>
        <w:t>, financiera, social y</w:t>
      </w:r>
      <w:r w:rsidR="00C84E09">
        <w:rPr>
          <w:rFonts w:ascii="Garamond" w:hAnsi="Garamond" w:cs="Arial"/>
          <w:sz w:val="22"/>
          <w:szCs w:val="22"/>
        </w:rPr>
        <w:t xml:space="preserve"> </w:t>
      </w:r>
      <w:r w:rsidR="00C84E09" w:rsidRPr="00C84E09">
        <w:rPr>
          <w:rFonts w:ascii="Garamond" w:hAnsi="Garamond" w:cs="Arial"/>
          <w:sz w:val="22"/>
          <w:szCs w:val="22"/>
        </w:rPr>
        <w:t>técnica ambiental atinente al proceso, brindad por profesionales idóneos materiales de capacitación, transporte para</w:t>
      </w:r>
      <w:r w:rsidR="00C84E09">
        <w:rPr>
          <w:rFonts w:ascii="Garamond" w:hAnsi="Garamond" w:cs="Arial"/>
          <w:sz w:val="22"/>
          <w:szCs w:val="22"/>
        </w:rPr>
        <w:t xml:space="preserve"> </w:t>
      </w:r>
      <w:r w:rsidR="00C84E09" w:rsidRPr="00C84E09">
        <w:rPr>
          <w:rFonts w:ascii="Garamond" w:hAnsi="Garamond" w:cs="Arial"/>
          <w:sz w:val="22"/>
          <w:szCs w:val="22"/>
        </w:rPr>
        <w:t>brindar el acompañamiento a las organizaciones sociales y comunitarias, gastos relativos al desarrollo de los procesos de</w:t>
      </w:r>
      <w:r w:rsidR="00C84E09">
        <w:rPr>
          <w:rFonts w:ascii="Garamond" w:hAnsi="Garamond" w:cs="Arial"/>
          <w:sz w:val="22"/>
          <w:szCs w:val="22"/>
        </w:rPr>
        <w:t xml:space="preserve"> </w:t>
      </w:r>
      <w:r w:rsidR="00C84E09" w:rsidRPr="00C84E09">
        <w:rPr>
          <w:rFonts w:ascii="Garamond" w:hAnsi="Garamond" w:cs="Arial"/>
          <w:sz w:val="22"/>
          <w:szCs w:val="22"/>
        </w:rPr>
        <w:t>contratación que se originen para la correcta ejecución del objeto convenido, suma que cubre todos los costos directos e</w:t>
      </w:r>
      <w:r w:rsidR="00C84E09">
        <w:rPr>
          <w:rFonts w:ascii="Garamond" w:hAnsi="Garamond" w:cs="Arial"/>
          <w:sz w:val="22"/>
          <w:szCs w:val="22"/>
        </w:rPr>
        <w:t xml:space="preserve"> </w:t>
      </w:r>
      <w:r w:rsidR="00C84E09" w:rsidRPr="00C84E09">
        <w:rPr>
          <w:rFonts w:ascii="Garamond" w:hAnsi="Garamond" w:cs="Arial"/>
          <w:sz w:val="22"/>
          <w:szCs w:val="22"/>
        </w:rPr>
        <w:t>indirectos en que se incurra, para un valor total DE NOVECIENTOS TREINTA Y UN MILLONES QUINIENTOS SIETE MIL</w:t>
      </w:r>
    </w:p>
    <w:p w14:paraId="2A7F1FEB" w14:textId="148C841A" w:rsidR="00C84E09" w:rsidRPr="00C84E09" w:rsidRDefault="00C84E09" w:rsidP="00C84E09">
      <w:pPr>
        <w:spacing w:after="0" w:line="240" w:lineRule="auto"/>
        <w:jc w:val="both"/>
        <w:rPr>
          <w:rFonts w:ascii="Garamond" w:hAnsi="Garamond" w:cs="Arial"/>
          <w:sz w:val="22"/>
          <w:szCs w:val="22"/>
        </w:rPr>
      </w:pPr>
      <w:r w:rsidRPr="00C84E09">
        <w:rPr>
          <w:rFonts w:ascii="Garamond" w:hAnsi="Garamond" w:cs="Arial"/>
          <w:sz w:val="22"/>
          <w:szCs w:val="22"/>
        </w:rPr>
        <w:t>NOVECIENTOS OCHENTA Y NUEVE ($93.507.989) MONEDA LEGAL.</w:t>
      </w:r>
    </w:p>
    <w:p w14:paraId="7DA26C37" w14:textId="08EF5A6E" w:rsidR="00C84E09" w:rsidRPr="00C84E09" w:rsidRDefault="00C84E09" w:rsidP="00C84E09">
      <w:pPr>
        <w:spacing w:after="0" w:line="240" w:lineRule="auto"/>
        <w:jc w:val="both"/>
        <w:rPr>
          <w:rFonts w:ascii="Garamond" w:hAnsi="Garamond" w:cs="Arial"/>
          <w:sz w:val="22"/>
          <w:szCs w:val="22"/>
        </w:rPr>
      </w:pPr>
      <w:r w:rsidRPr="00C84E09">
        <w:rPr>
          <w:rFonts w:ascii="Garamond" w:hAnsi="Garamond" w:cs="Arial"/>
          <w:sz w:val="22"/>
          <w:szCs w:val="22"/>
        </w:rPr>
        <w:t>Que como plazo de ejecución inicial del Convenio Interadministrativo de Cofinanciación No. 10-188-2009 se estableció el</w:t>
      </w:r>
      <w:r>
        <w:rPr>
          <w:rFonts w:ascii="Garamond" w:hAnsi="Garamond" w:cs="Arial"/>
          <w:sz w:val="22"/>
          <w:szCs w:val="22"/>
        </w:rPr>
        <w:t xml:space="preserve"> </w:t>
      </w:r>
      <w:r w:rsidRPr="00C84E09">
        <w:rPr>
          <w:rFonts w:ascii="Garamond" w:hAnsi="Garamond" w:cs="Arial"/>
          <w:sz w:val="22"/>
          <w:szCs w:val="22"/>
        </w:rPr>
        <w:t xml:space="preserve">término de UN (1) AÑO, contado a partir de su perfeccionamiento y la suscripción del acta de inicio suscrita </w:t>
      </w:r>
      <w:r>
        <w:rPr>
          <w:rFonts w:ascii="Garamond" w:hAnsi="Garamond" w:cs="Arial"/>
          <w:sz w:val="22"/>
          <w:szCs w:val="22"/>
        </w:rPr>
        <w:t xml:space="preserve">en </w:t>
      </w:r>
      <w:r w:rsidRPr="00C84E09">
        <w:rPr>
          <w:rFonts w:ascii="Garamond" w:hAnsi="Garamond" w:cs="Arial"/>
          <w:sz w:val="22"/>
          <w:szCs w:val="22"/>
        </w:rPr>
        <w:t>fecha 16 de febrero de 2010.</w:t>
      </w:r>
    </w:p>
    <w:p w14:paraId="7D668237" w14:textId="6304E15D" w:rsidR="00466B69" w:rsidRDefault="00C84E09" w:rsidP="00C84E09">
      <w:pPr>
        <w:spacing w:after="0" w:line="240" w:lineRule="auto"/>
        <w:jc w:val="both"/>
        <w:rPr>
          <w:rFonts w:ascii="Garamond" w:hAnsi="Garamond" w:cs="Arial"/>
          <w:sz w:val="22"/>
          <w:szCs w:val="22"/>
        </w:rPr>
      </w:pPr>
      <w:r w:rsidRPr="00C84E09">
        <w:rPr>
          <w:rFonts w:ascii="Garamond" w:hAnsi="Garamond" w:cs="Arial"/>
          <w:sz w:val="22"/>
          <w:szCs w:val="22"/>
        </w:rPr>
        <w:t>Que en el Convenio Interadministrativo de Cofinanciación No.10-188-2010, fue objeto de las siguientes adiciones y</w:t>
      </w:r>
      <w:r w:rsidR="00466B69">
        <w:rPr>
          <w:rFonts w:ascii="Garamond" w:hAnsi="Garamond" w:cs="Arial"/>
          <w:sz w:val="22"/>
          <w:szCs w:val="22"/>
        </w:rPr>
        <w:t xml:space="preserve"> </w:t>
      </w:r>
      <w:r w:rsidRPr="00C84E09">
        <w:rPr>
          <w:rFonts w:ascii="Garamond" w:hAnsi="Garamond" w:cs="Arial"/>
          <w:sz w:val="22"/>
          <w:szCs w:val="22"/>
        </w:rPr>
        <w:t>prórrogas:</w:t>
      </w:r>
      <w:r w:rsidR="00466B69">
        <w:rPr>
          <w:rFonts w:ascii="Garamond" w:hAnsi="Garamond" w:cs="Arial"/>
          <w:sz w:val="22"/>
          <w:szCs w:val="22"/>
        </w:rPr>
        <w:t xml:space="preserve"> </w:t>
      </w:r>
      <w:r w:rsidR="00466B69" w:rsidRPr="00724526">
        <w:rPr>
          <w:rFonts w:ascii="Garamond" w:hAnsi="Garamond" w:cs="Arial"/>
          <w:sz w:val="22"/>
          <w:szCs w:val="22"/>
        </w:rPr>
        <w:t xml:space="preserve">adición 1 por valor de </w:t>
      </w:r>
      <w:r w:rsidR="00466B69" w:rsidRPr="00724526">
        <w:rPr>
          <w:rFonts w:ascii="Garamond" w:hAnsi="Garamond" w:cs="Arial"/>
          <w:sz w:val="22"/>
          <w:szCs w:val="22"/>
        </w:rPr>
        <w:t>$161.00.000</w:t>
      </w:r>
      <w:r w:rsidR="00466B69" w:rsidRPr="00724526">
        <w:rPr>
          <w:rFonts w:ascii="Garamond" w:hAnsi="Garamond" w:cs="Arial"/>
          <w:sz w:val="22"/>
          <w:szCs w:val="22"/>
        </w:rPr>
        <w:t xml:space="preserve"> y la adición 2 por </w:t>
      </w:r>
      <w:r w:rsidR="00466B69" w:rsidRPr="00724526">
        <w:rPr>
          <w:rFonts w:ascii="Garamond" w:hAnsi="Garamond" w:cs="Arial"/>
          <w:sz w:val="22"/>
          <w:szCs w:val="22"/>
        </w:rPr>
        <w:t>$1880.000.000</w:t>
      </w:r>
      <w:r w:rsidR="00466B69" w:rsidRPr="00724526">
        <w:rPr>
          <w:rFonts w:ascii="Garamond" w:hAnsi="Garamond" w:cs="Arial"/>
          <w:sz w:val="22"/>
          <w:szCs w:val="22"/>
        </w:rPr>
        <w:t xml:space="preserve">, </w:t>
      </w:r>
      <w:r w:rsidR="00466B69" w:rsidRPr="00724526">
        <w:rPr>
          <w:rFonts w:ascii="Garamond" w:hAnsi="Garamond" w:cs="Arial"/>
          <w:sz w:val="22"/>
          <w:szCs w:val="22"/>
        </w:rPr>
        <w:t xml:space="preserve">se </w:t>
      </w:r>
      <w:r w:rsidR="00466B69" w:rsidRPr="00466B69">
        <w:rPr>
          <w:rFonts w:ascii="Garamond" w:hAnsi="Garamond" w:cs="Arial"/>
          <w:sz w:val="22"/>
          <w:szCs w:val="22"/>
        </w:rPr>
        <w:t xml:space="preserve">suscribió acta de inicio el 16 de febrero del 2010 con fecha de terminación del 15 de febrero de 2011, el 30 de diciembre de 2010 se suscribió </w:t>
      </w:r>
      <w:r w:rsidR="00466B69" w:rsidRPr="00466B69">
        <w:rPr>
          <w:rFonts w:ascii="Garamond" w:hAnsi="Garamond" w:cs="Arial"/>
          <w:sz w:val="22"/>
          <w:szCs w:val="22"/>
        </w:rPr>
        <w:t>prórroga</w:t>
      </w:r>
      <w:r w:rsidR="00466B69" w:rsidRPr="00466B69">
        <w:rPr>
          <w:rFonts w:ascii="Garamond" w:hAnsi="Garamond" w:cs="Arial"/>
          <w:sz w:val="22"/>
          <w:szCs w:val="22"/>
        </w:rPr>
        <w:t xml:space="preserve"> N°1 por doce (12) meses y fecha de terminación del 15 de febrero de 2012. se suscribió prórroga N°2 el 14 de febrero por seis (6) meses más y fecha de terminación de 15 de febrero de 2012, el día 13 de agosto de 2012 se suscribió </w:t>
      </w:r>
      <w:r w:rsidR="00466B69" w:rsidRPr="00466B69">
        <w:rPr>
          <w:rFonts w:ascii="Garamond" w:hAnsi="Garamond" w:cs="Arial"/>
          <w:sz w:val="22"/>
          <w:szCs w:val="22"/>
        </w:rPr>
        <w:t>prórroga</w:t>
      </w:r>
      <w:r w:rsidR="00466B69" w:rsidRPr="00466B69">
        <w:rPr>
          <w:rFonts w:ascii="Garamond" w:hAnsi="Garamond" w:cs="Arial"/>
          <w:sz w:val="22"/>
          <w:szCs w:val="22"/>
        </w:rPr>
        <w:t xml:space="preserve"> N°3 por seis (6) meses más y fecha de terminación del 15 de febrero de 2013.</w:t>
      </w:r>
      <w:r w:rsidR="006A7304">
        <w:rPr>
          <w:rFonts w:ascii="Garamond" w:hAnsi="Garamond" w:cs="Arial"/>
          <w:sz w:val="22"/>
          <w:szCs w:val="22"/>
        </w:rPr>
        <w:t xml:space="preserve"> </w:t>
      </w:r>
    </w:p>
    <w:p w14:paraId="5D0477BF" w14:textId="57E06E64" w:rsidR="00C84E09" w:rsidRDefault="00466B69" w:rsidP="003E696A">
      <w:pPr>
        <w:spacing w:after="0" w:line="240" w:lineRule="auto"/>
        <w:jc w:val="both"/>
        <w:rPr>
          <w:rFonts w:ascii="Garamond" w:hAnsi="Garamond" w:cs="Arial"/>
          <w:sz w:val="22"/>
          <w:szCs w:val="22"/>
        </w:rPr>
      </w:pPr>
      <w:r w:rsidRPr="00466B69">
        <w:rPr>
          <w:rFonts w:ascii="Garamond" w:hAnsi="Garamond" w:cs="Arial"/>
          <w:sz w:val="22"/>
          <w:szCs w:val="22"/>
        </w:rPr>
        <w:t xml:space="preserve">Que en ejecución del Convenio Interadministrativo de Cofinanciación No. 188-2009 se celebró el </w:t>
      </w:r>
      <w:proofErr w:type="spellStart"/>
      <w:r w:rsidRPr="00466B69">
        <w:rPr>
          <w:rFonts w:ascii="Garamond" w:hAnsi="Garamond" w:cs="Arial"/>
          <w:sz w:val="22"/>
          <w:szCs w:val="22"/>
        </w:rPr>
        <w:t>dia</w:t>
      </w:r>
      <w:proofErr w:type="spellEnd"/>
      <w:r w:rsidRPr="00466B69">
        <w:rPr>
          <w:rFonts w:ascii="Garamond" w:hAnsi="Garamond" w:cs="Arial"/>
          <w:sz w:val="22"/>
          <w:szCs w:val="22"/>
        </w:rPr>
        <w:t xml:space="preserve"> 30 de </w:t>
      </w:r>
      <w:proofErr w:type="gramStart"/>
      <w:r w:rsidRPr="00466B69">
        <w:rPr>
          <w:rFonts w:ascii="Garamond" w:hAnsi="Garamond" w:cs="Arial"/>
          <w:sz w:val="22"/>
          <w:szCs w:val="22"/>
        </w:rPr>
        <w:t>Diciembre</w:t>
      </w:r>
      <w:proofErr w:type="gramEnd"/>
      <w:r w:rsidRPr="00466B69">
        <w:rPr>
          <w:rFonts w:ascii="Garamond" w:hAnsi="Garamond" w:cs="Arial"/>
          <w:sz w:val="22"/>
          <w:szCs w:val="22"/>
        </w:rPr>
        <w:t xml:space="preserve"> de 2010, el Contrato con Entidad Privada Sin </w:t>
      </w:r>
      <w:proofErr w:type="spellStart"/>
      <w:r w:rsidRPr="00466B69">
        <w:rPr>
          <w:rFonts w:ascii="Garamond" w:hAnsi="Garamond" w:cs="Arial"/>
          <w:sz w:val="22"/>
          <w:szCs w:val="22"/>
        </w:rPr>
        <w:t>Animo</w:t>
      </w:r>
      <w:proofErr w:type="spellEnd"/>
      <w:r w:rsidRPr="00466B69">
        <w:rPr>
          <w:rFonts w:ascii="Garamond" w:hAnsi="Garamond" w:cs="Arial"/>
          <w:sz w:val="22"/>
          <w:szCs w:val="22"/>
        </w:rPr>
        <w:t xml:space="preserve"> de lucro No. 10-04-188-2009, entre la Fundación Para El Fomento Social Integrado "FINFOSOIN" y el Instituto Distrital De La Participación Y Acción Comunal IDPAC, cuyo objeto establece: "EL CONTRATISTA se compromete para con LA ENTIDAD, a ejecutar y garantizar la sostenibilidad de un proyecto social participativo. conformado por un componente de obra, y uno social </w:t>
      </w:r>
      <w:proofErr w:type="spellStart"/>
      <w:r w:rsidRPr="00466B69">
        <w:rPr>
          <w:rFonts w:ascii="Garamond" w:hAnsi="Garamond" w:cs="Arial"/>
          <w:sz w:val="22"/>
          <w:szCs w:val="22"/>
        </w:rPr>
        <w:t>de</w:t>
      </w:r>
      <w:r w:rsidR="009A7462">
        <w:rPr>
          <w:rFonts w:ascii="Garamond" w:hAnsi="Garamond" w:cs="Arial"/>
          <w:sz w:val="22"/>
          <w:szCs w:val="22"/>
        </w:rPr>
        <w:t>a</w:t>
      </w:r>
      <w:r w:rsidRPr="00466B69">
        <w:rPr>
          <w:rFonts w:ascii="Garamond" w:hAnsi="Garamond" w:cs="Arial"/>
          <w:sz w:val="22"/>
          <w:szCs w:val="22"/>
        </w:rPr>
        <w:t>cu</w:t>
      </w:r>
      <w:r w:rsidR="009A7462">
        <w:rPr>
          <w:rFonts w:ascii="Garamond" w:hAnsi="Garamond" w:cs="Arial"/>
          <w:sz w:val="22"/>
          <w:szCs w:val="22"/>
        </w:rPr>
        <w:t>e</w:t>
      </w:r>
      <w:r w:rsidRPr="00466B69">
        <w:rPr>
          <w:rFonts w:ascii="Garamond" w:hAnsi="Garamond" w:cs="Arial"/>
          <w:sz w:val="22"/>
          <w:szCs w:val="22"/>
        </w:rPr>
        <w:t>rdo</w:t>
      </w:r>
      <w:proofErr w:type="spellEnd"/>
      <w:r w:rsidRPr="00466B69">
        <w:rPr>
          <w:rFonts w:ascii="Garamond" w:hAnsi="Garamond" w:cs="Arial"/>
          <w:sz w:val="22"/>
          <w:szCs w:val="22"/>
        </w:rPr>
        <w:t xml:space="preserve"> con la </w:t>
      </w:r>
      <w:proofErr w:type="spellStart"/>
      <w:r w:rsidRPr="00466B69">
        <w:rPr>
          <w:rFonts w:ascii="Garamond" w:hAnsi="Garamond" w:cs="Arial"/>
          <w:sz w:val="22"/>
          <w:szCs w:val="22"/>
        </w:rPr>
        <w:t>consultoria</w:t>
      </w:r>
      <w:proofErr w:type="spellEnd"/>
      <w:r w:rsidRPr="00466B69">
        <w:rPr>
          <w:rFonts w:ascii="Garamond" w:hAnsi="Garamond" w:cs="Arial"/>
          <w:sz w:val="22"/>
          <w:szCs w:val="22"/>
        </w:rPr>
        <w:t xml:space="preserve"> realizada y las condiciones técnicas. ambientales. sociales, económicas, </w:t>
      </w:r>
      <w:proofErr w:type="spellStart"/>
      <w:r w:rsidRPr="00466B69">
        <w:rPr>
          <w:rFonts w:ascii="Garamond" w:hAnsi="Garamond" w:cs="Arial"/>
          <w:sz w:val="22"/>
          <w:szCs w:val="22"/>
        </w:rPr>
        <w:t>juridicas</w:t>
      </w:r>
      <w:proofErr w:type="spellEnd"/>
      <w:r w:rsidRPr="00466B69">
        <w:rPr>
          <w:rFonts w:ascii="Garamond" w:hAnsi="Garamond" w:cs="Arial"/>
          <w:sz w:val="22"/>
          <w:szCs w:val="22"/>
        </w:rPr>
        <w:t xml:space="preserve"> y financieras definidas previamente por el IDPAC en la </w:t>
      </w:r>
      <w:r w:rsidR="009A7462" w:rsidRPr="00466B69">
        <w:rPr>
          <w:rFonts w:ascii="Garamond" w:hAnsi="Garamond" w:cs="Arial"/>
          <w:sz w:val="22"/>
          <w:szCs w:val="22"/>
        </w:rPr>
        <w:t>metodología</w:t>
      </w:r>
      <w:r w:rsidRPr="00466B69">
        <w:rPr>
          <w:rFonts w:ascii="Garamond" w:hAnsi="Garamond" w:cs="Arial"/>
          <w:sz w:val="22"/>
          <w:szCs w:val="22"/>
        </w:rPr>
        <w:t xml:space="preserve"> del proyecto de obra con participación ciudadana", estableciéndose como alcance al objeto lo siguiente: "EL CONTRATISTA desarrollará el objeto del contractual, mediante el desarrollo de las </w:t>
      </w:r>
      <w:proofErr w:type="gramStart"/>
      <w:r w:rsidRPr="00466B69">
        <w:rPr>
          <w:rFonts w:ascii="Garamond" w:hAnsi="Garamond" w:cs="Arial"/>
          <w:sz w:val="22"/>
          <w:szCs w:val="22"/>
        </w:rPr>
        <w:t>siguiente fases</w:t>
      </w:r>
      <w:proofErr w:type="gramEnd"/>
      <w:r w:rsidRPr="00466B69">
        <w:rPr>
          <w:rFonts w:ascii="Garamond" w:hAnsi="Garamond" w:cs="Arial"/>
          <w:sz w:val="22"/>
          <w:szCs w:val="22"/>
        </w:rPr>
        <w:t xml:space="preserve">: Fase 1: El contratista ejecutará las siguientes actividades: Tramitar y obtener la nueva licencia de Construcción. Fase II Proyecto Social Participativo: El contratista se obliga a recibir y poner en práctica las capacitaciones programadas por el IDPA, para la formulación y ejecución de  un proyecto social participativo, conformado por un componente de obra y uno social, garantizando su sostenibilidad de conformación con las condiciones técnicas, ambientales económicas y financieras definidas previamente por la Entidad mediante la </w:t>
      </w:r>
      <w:proofErr w:type="spellStart"/>
      <w:r w:rsidRPr="00466B69">
        <w:rPr>
          <w:rFonts w:ascii="Garamond" w:hAnsi="Garamond" w:cs="Arial"/>
          <w:sz w:val="22"/>
          <w:szCs w:val="22"/>
        </w:rPr>
        <w:t>metodologia</w:t>
      </w:r>
      <w:proofErr w:type="spellEnd"/>
      <w:r w:rsidRPr="00466B69">
        <w:rPr>
          <w:rFonts w:ascii="Garamond" w:hAnsi="Garamond" w:cs="Arial"/>
          <w:sz w:val="22"/>
          <w:szCs w:val="22"/>
        </w:rPr>
        <w:t xml:space="preserve"> "obras con Participación ciudadana", del proyecto social participativo Constricción Fase II Salón Comunal del Barrio Los Monjes, ubicado en la calle 56 No. 851-15, Localidad de Engativa.</w:t>
      </w:r>
    </w:p>
    <w:p w14:paraId="19E8F3AD" w14:textId="77777777" w:rsidR="002E0C35" w:rsidRDefault="009A7462" w:rsidP="003E696A">
      <w:pPr>
        <w:spacing w:after="0" w:line="240" w:lineRule="auto"/>
        <w:jc w:val="both"/>
        <w:rPr>
          <w:rFonts w:ascii="Garamond" w:hAnsi="Garamond" w:cs="Arial"/>
          <w:sz w:val="22"/>
          <w:szCs w:val="22"/>
        </w:rPr>
      </w:pPr>
      <w:r>
        <w:rPr>
          <w:rFonts w:ascii="Garamond" w:hAnsi="Garamond" w:cs="Arial"/>
          <w:sz w:val="22"/>
          <w:szCs w:val="22"/>
        </w:rPr>
        <w:lastRenderedPageBreak/>
        <w:t xml:space="preserve">así las cosas, una </w:t>
      </w:r>
      <w:proofErr w:type="gramStart"/>
      <w:r>
        <w:rPr>
          <w:rFonts w:ascii="Garamond" w:hAnsi="Garamond" w:cs="Arial"/>
          <w:sz w:val="22"/>
          <w:szCs w:val="22"/>
        </w:rPr>
        <w:t>vez  cumplido</w:t>
      </w:r>
      <w:proofErr w:type="gramEnd"/>
      <w:r>
        <w:rPr>
          <w:rFonts w:ascii="Garamond" w:hAnsi="Garamond" w:cs="Arial"/>
          <w:sz w:val="22"/>
          <w:szCs w:val="22"/>
        </w:rPr>
        <w:t xml:space="preserve"> el plazo del contrato se expidió la resolución 034 del 04 de marzo del 2014, </w:t>
      </w:r>
      <w:r w:rsidRPr="006A7304">
        <w:rPr>
          <w:rFonts w:ascii="Garamond" w:hAnsi="Garamond" w:cs="Arial"/>
          <w:sz w:val="22"/>
          <w:szCs w:val="22"/>
        </w:rPr>
        <w:t xml:space="preserve">Por medio del cual se liquida unilateralmente el Contrato con Entidad Privada Sin </w:t>
      </w:r>
      <w:proofErr w:type="spellStart"/>
      <w:r w:rsidRPr="006A7304">
        <w:rPr>
          <w:rFonts w:ascii="Garamond" w:hAnsi="Garamond" w:cs="Arial"/>
          <w:sz w:val="22"/>
          <w:szCs w:val="22"/>
        </w:rPr>
        <w:t>Animo</w:t>
      </w:r>
      <w:proofErr w:type="spellEnd"/>
      <w:r w:rsidRPr="006A7304">
        <w:rPr>
          <w:rFonts w:ascii="Garamond" w:hAnsi="Garamond" w:cs="Arial"/>
          <w:sz w:val="22"/>
          <w:szCs w:val="22"/>
        </w:rPr>
        <w:t xml:space="preserve"> de Lucro No. 10-04-188-2009 celebrado entre el Instituto Distrital de la Participación y Acción Comunal - IDPAC - y La Fundación Para El Fomento Social Integrado "FUNFOSOIN" Derivado Del Convenio Interadministrativo De Cofinanciación No. 188-2009 Suscrito Con La Alcaldia Local De Engativa"</w:t>
      </w:r>
      <w:r w:rsidR="002E0C35">
        <w:rPr>
          <w:rFonts w:ascii="Garamond" w:hAnsi="Garamond" w:cs="Arial"/>
          <w:sz w:val="22"/>
          <w:szCs w:val="22"/>
        </w:rPr>
        <w:t xml:space="preserve">, la cual en el folio 20 presenta: </w:t>
      </w:r>
    </w:p>
    <w:p w14:paraId="2DB9209A" w14:textId="77777777" w:rsidR="002E0C35" w:rsidRPr="006A5BDE" w:rsidRDefault="002E0C35" w:rsidP="002E0C35">
      <w:pPr>
        <w:spacing w:after="0" w:line="240" w:lineRule="auto"/>
        <w:jc w:val="both"/>
        <w:rPr>
          <w:rFonts w:ascii="Garamond" w:hAnsi="Garamond" w:cs="Arial"/>
          <w:i/>
          <w:iCs/>
          <w:sz w:val="22"/>
          <w:szCs w:val="22"/>
        </w:rPr>
      </w:pPr>
      <w:r w:rsidRPr="006A5BDE">
        <w:rPr>
          <w:rFonts w:ascii="Garamond" w:hAnsi="Garamond" w:cs="Arial"/>
          <w:i/>
          <w:iCs/>
          <w:sz w:val="22"/>
          <w:szCs w:val="22"/>
        </w:rPr>
        <w:t>(…) “</w:t>
      </w:r>
      <w:r w:rsidRPr="006A5BDE">
        <w:rPr>
          <w:rFonts w:ascii="Garamond" w:hAnsi="Garamond" w:cs="Arial"/>
          <w:i/>
          <w:iCs/>
          <w:sz w:val="22"/>
          <w:szCs w:val="22"/>
        </w:rPr>
        <w:t>HALLAZGO ADMINISTRATIVO CON INCIDENCIA FISCAL Y PRESUNTA INCIDENCIA DISCIPLINARIA No. 2.22.12.4:</w:t>
      </w:r>
    </w:p>
    <w:p w14:paraId="30072C16" w14:textId="7C13A1BC" w:rsidR="002E0C35" w:rsidRPr="006A5BDE" w:rsidRDefault="002E0C35" w:rsidP="002E0C35">
      <w:pPr>
        <w:spacing w:after="0" w:line="240" w:lineRule="auto"/>
        <w:jc w:val="both"/>
        <w:rPr>
          <w:rFonts w:ascii="Garamond" w:hAnsi="Garamond" w:cs="Arial"/>
          <w:i/>
          <w:iCs/>
          <w:sz w:val="22"/>
          <w:szCs w:val="22"/>
        </w:rPr>
      </w:pPr>
      <w:r w:rsidRPr="006A5BDE">
        <w:rPr>
          <w:rFonts w:ascii="Garamond" w:hAnsi="Garamond" w:cs="Arial"/>
          <w:i/>
          <w:iCs/>
          <w:sz w:val="22"/>
          <w:szCs w:val="22"/>
        </w:rPr>
        <w:t xml:space="preserve">La </w:t>
      </w:r>
      <w:proofErr w:type="spellStart"/>
      <w:r w:rsidRPr="006A5BDE">
        <w:rPr>
          <w:rFonts w:ascii="Garamond" w:hAnsi="Garamond" w:cs="Arial"/>
          <w:i/>
          <w:iCs/>
          <w:sz w:val="22"/>
          <w:szCs w:val="22"/>
        </w:rPr>
        <w:t>Contraloria</w:t>
      </w:r>
      <w:proofErr w:type="spellEnd"/>
      <w:r w:rsidRPr="006A5BDE">
        <w:rPr>
          <w:rFonts w:ascii="Garamond" w:hAnsi="Garamond" w:cs="Arial"/>
          <w:i/>
          <w:iCs/>
          <w:sz w:val="22"/>
          <w:szCs w:val="22"/>
        </w:rPr>
        <w:t xml:space="preserve"> de Bogotá D.C., en el Informe de vista de Auditoria Gubernamental con Enfoque Integral - Modalidad Regular Plan de</w:t>
      </w:r>
      <w:r w:rsidRPr="006A5BDE">
        <w:rPr>
          <w:rFonts w:ascii="Garamond" w:hAnsi="Garamond" w:cs="Arial"/>
          <w:i/>
          <w:iCs/>
          <w:sz w:val="22"/>
          <w:szCs w:val="22"/>
        </w:rPr>
        <w:t xml:space="preserve"> </w:t>
      </w:r>
      <w:r w:rsidRPr="006A5BDE">
        <w:rPr>
          <w:rFonts w:ascii="Garamond" w:hAnsi="Garamond" w:cs="Arial"/>
          <w:i/>
          <w:iCs/>
          <w:sz w:val="22"/>
          <w:szCs w:val="22"/>
        </w:rPr>
        <w:t>Auditoria Distrital 2012, de fecha Julio de 2013, estableció un Hallazgo Administrativo con incidencia fiscal, al Contrato con Entidad sin</w:t>
      </w:r>
      <w:r w:rsidRPr="006A5BDE">
        <w:rPr>
          <w:rFonts w:ascii="Garamond" w:hAnsi="Garamond" w:cs="Arial"/>
          <w:i/>
          <w:iCs/>
          <w:sz w:val="22"/>
          <w:szCs w:val="22"/>
        </w:rPr>
        <w:t xml:space="preserve"> </w:t>
      </w:r>
      <w:proofErr w:type="spellStart"/>
      <w:r w:rsidRPr="006A5BDE">
        <w:rPr>
          <w:rFonts w:ascii="Garamond" w:hAnsi="Garamond" w:cs="Arial"/>
          <w:i/>
          <w:iCs/>
          <w:sz w:val="22"/>
          <w:szCs w:val="22"/>
        </w:rPr>
        <w:t>Animo</w:t>
      </w:r>
      <w:proofErr w:type="spellEnd"/>
      <w:r w:rsidRPr="006A5BDE">
        <w:rPr>
          <w:rFonts w:ascii="Garamond" w:hAnsi="Garamond" w:cs="Arial"/>
          <w:i/>
          <w:iCs/>
          <w:sz w:val="22"/>
          <w:szCs w:val="22"/>
        </w:rPr>
        <w:t xml:space="preserve"> de Lucro No. 10-04-188-2009 bajo los siguientes argumentos:</w:t>
      </w:r>
    </w:p>
    <w:p w14:paraId="14E4BE02" w14:textId="5FCF5288" w:rsidR="002E0C35" w:rsidRPr="006A5BDE" w:rsidRDefault="002E0C35" w:rsidP="002E0C35">
      <w:pPr>
        <w:spacing w:after="0" w:line="240" w:lineRule="auto"/>
        <w:jc w:val="both"/>
        <w:rPr>
          <w:rFonts w:ascii="Garamond" w:hAnsi="Garamond" w:cs="Arial"/>
          <w:i/>
          <w:iCs/>
          <w:sz w:val="22"/>
          <w:szCs w:val="22"/>
        </w:rPr>
      </w:pPr>
      <w:r w:rsidRPr="006A5BDE">
        <w:rPr>
          <w:rFonts w:ascii="Garamond" w:hAnsi="Garamond" w:cs="Arial"/>
          <w:i/>
          <w:iCs/>
          <w:sz w:val="22"/>
          <w:szCs w:val="22"/>
        </w:rPr>
        <w:t>(...) A lo descrito en el alcance del objeto, FASE II PROYECTO SOCIAL PARTICIPATIVO EL IDPAC. suscribe y recibe a</w:t>
      </w:r>
      <w:r w:rsidRPr="006A5BDE">
        <w:rPr>
          <w:rFonts w:ascii="Garamond" w:hAnsi="Garamond" w:cs="Arial"/>
          <w:i/>
          <w:iCs/>
          <w:sz w:val="22"/>
          <w:szCs w:val="22"/>
        </w:rPr>
        <w:t xml:space="preserve"> </w:t>
      </w:r>
      <w:r w:rsidRPr="006A5BDE">
        <w:rPr>
          <w:rFonts w:ascii="Garamond" w:hAnsi="Garamond" w:cs="Arial"/>
          <w:i/>
          <w:iCs/>
          <w:sz w:val="22"/>
          <w:szCs w:val="22"/>
        </w:rPr>
        <w:t xml:space="preserve">satisfacción la construcción de la segunda fase </w:t>
      </w:r>
      <w:r w:rsidR="006A5BDE" w:rsidRPr="006A5BDE">
        <w:rPr>
          <w:rFonts w:ascii="Garamond" w:hAnsi="Garamond" w:cs="Arial"/>
          <w:i/>
          <w:iCs/>
          <w:sz w:val="22"/>
          <w:szCs w:val="22"/>
        </w:rPr>
        <w:t>del</w:t>
      </w:r>
      <w:r w:rsidRPr="006A5BDE">
        <w:rPr>
          <w:rFonts w:ascii="Garamond" w:hAnsi="Garamond" w:cs="Arial"/>
          <w:i/>
          <w:iCs/>
          <w:sz w:val="22"/>
          <w:szCs w:val="22"/>
        </w:rPr>
        <w:t xml:space="preserve"> salón comunal del barrio Los monjes. De la verificación realizada a la obra</w:t>
      </w:r>
      <w:r w:rsidRPr="006A5BDE">
        <w:rPr>
          <w:rFonts w:ascii="Garamond" w:hAnsi="Garamond" w:cs="Arial"/>
          <w:i/>
          <w:iCs/>
          <w:sz w:val="22"/>
          <w:szCs w:val="22"/>
        </w:rPr>
        <w:t xml:space="preserve"> </w:t>
      </w:r>
      <w:r w:rsidRPr="006A5BDE">
        <w:rPr>
          <w:rFonts w:ascii="Garamond" w:hAnsi="Garamond" w:cs="Arial"/>
          <w:i/>
          <w:iCs/>
          <w:sz w:val="22"/>
          <w:szCs w:val="22"/>
        </w:rPr>
        <w:t>ejecutada se evidenció que el IDPAC, recibió y pago obras mal ejecutadas, que se configuran en detrimento del Distrito Capital en</w:t>
      </w:r>
      <w:r w:rsidR="006A5BDE">
        <w:rPr>
          <w:rFonts w:ascii="Garamond" w:hAnsi="Garamond" w:cs="Arial"/>
          <w:i/>
          <w:iCs/>
          <w:sz w:val="22"/>
          <w:szCs w:val="22"/>
        </w:rPr>
        <w:t xml:space="preserve"> </w:t>
      </w:r>
      <w:r w:rsidR="006A5BDE" w:rsidRPr="006A5BDE">
        <w:rPr>
          <w:rFonts w:ascii="Garamond" w:hAnsi="Garamond" w:cs="Arial"/>
          <w:i/>
          <w:iCs/>
          <w:sz w:val="22"/>
          <w:szCs w:val="22"/>
        </w:rPr>
        <w:t>cuantía</w:t>
      </w:r>
      <w:r w:rsidRPr="006A5BDE">
        <w:rPr>
          <w:rFonts w:ascii="Garamond" w:hAnsi="Garamond" w:cs="Arial"/>
          <w:i/>
          <w:iCs/>
          <w:sz w:val="22"/>
          <w:szCs w:val="22"/>
        </w:rPr>
        <w:t xml:space="preserve"> de $ 93.902.063, </w:t>
      </w:r>
      <w:r w:rsidR="006A5BDE" w:rsidRPr="006A5BDE">
        <w:rPr>
          <w:rFonts w:ascii="Garamond" w:hAnsi="Garamond" w:cs="Arial"/>
          <w:i/>
          <w:iCs/>
          <w:sz w:val="22"/>
          <w:szCs w:val="22"/>
        </w:rPr>
        <w:t>así</w:t>
      </w:r>
      <w:r w:rsidRPr="006A5BDE">
        <w:rPr>
          <w:rFonts w:ascii="Garamond" w:hAnsi="Garamond" w:cs="Arial"/>
          <w:i/>
          <w:iCs/>
          <w:sz w:val="22"/>
          <w:szCs w:val="22"/>
        </w:rPr>
        <w:t>.</w:t>
      </w:r>
    </w:p>
    <w:p w14:paraId="265A0D19" w14:textId="77777777" w:rsidR="002E0C35" w:rsidRPr="006A5BDE" w:rsidRDefault="002E0C35" w:rsidP="002E0C35">
      <w:pPr>
        <w:spacing w:after="0" w:line="240" w:lineRule="auto"/>
        <w:jc w:val="both"/>
        <w:rPr>
          <w:rFonts w:ascii="Garamond" w:hAnsi="Garamond" w:cs="Arial"/>
          <w:i/>
          <w:iCs/>
          <w:sz w:val="22"/>
          <w:szCs w:val="22"/>
        </w:rPr>
      </w:pPr>
    </w:p>
    <w:p w14:paraId="4A9FB119" w14:textId="5A0A48AA" w:rsidR="002E0C35" w:rsidRPr="006A5BDE" w:rsidRDefault="002E0C35" w:rsidP="002E0C35">
      <w:pPr>
        <w:pStyle w:val="Prrafodelista"/>
        <w:numPr>
          <w:ilvl w:val="0"/>
          <w:numId w:val="3"/>
        </w:numPr>
        <w:spacing w:after="0" w:line="240" w:lineRule="auto"/>
        <w:jc w:val="both"/>
        <w:rPr>
          <w:rFonts w:ascii="Garamond" w:hAnsi="Garamond" w:cs="Arial"/>
          <w:i/>
          <w:iCs/>
          <w:sz w:val="22"/>
          <w:szCs w:val="22"/>
        </w:rPr>
      </w:pPr>
      <w:r w:rsidRPr="006A5BDE">
        <w:rPr>
          <w:rFonts w:ascii="Garamond" w:hAnsi="Garamond" w:cs="Arial"/>
          <w:i/>
          <w:iCs/>
          <w:sz w:val="22"/>
          <w:szCs w:val="22"/>
        </w:rPr>
        <w:t xml:space="preserve">Estructura metálica, esta no fue soportada en la estructura en concreto de la edificación esta se anclo la </w:t>
      </w:r>
      <w:r w:rsidRPr="006A5BDE">
        <w:rPr>
          <w:rFonts w:ascii="Garamond" w:hAnsi="Garamond" w:cs="Arial"/>
          <w:i/>
          <w:iCs/>
          <w:sz w:val="22"/>
          <w:szCs w:val="22"/>
        </w:rPr>
        <w:t>mampostería</w:t>
      </w:r>
      <w:r w:rsidRPr="006A5BDE">
        <w:rPr>
          <w:rFonts w:ascii="Garamond" w:hAnsi="Garamond" w:cs="Arial"/>
          <w:i/>
          <w:iCs/>
          <w:sz w:val="22"/>
          <w:szCs w:val="22"/>
        </w:rPr>
        <w:t xml:space="preserve"> en</w:t>
      </w:r>
      <w:r w:rsidRPr="006A5BDE">
        <w:rPr>
          <w:rFonts w:ascii="Garamond" w:hAnsi="Garamond" w:cs="Arial"/>
          <w:i/>
          <w:iCs/>
          <w:sz w:val="22"/>
          <w:szCs w:val="22"/>
        </w:rPr>
        <w:t xml:space="preserve"> </w:t>
      </w:r>
      <w:r w:rsidRPr="006A5BDE">
        <w:rPr>
          <w:rFonts w:ascii="Garamond" w:hAnsi="Garamond" w:cs="Arial"/>
          <w:i/>
          <w:iCs/>
          <w:sz w:val="22"/>
          <w:szCs w:val="22"/>
        </w:rPr>
        <w:t>bloque, haciendo que la estructura no cumpla con los diseños inicial aprobados, por lo anterior la cubierta es inestable.</w:t>
      </w:r>
      <w:r w:rsidRPr="006A5BDE">
        <w:rPr>
          <w:rFonts w:ascii="Garamond" w:hAnsi="Garamond" w:cs="Arial"/>
          <w:i/>
          <w:iCs/>
          <w:sz w:val="22"/>
          <w:szCs w:val="22"/>
        </w:rPr>
        <w:t xml:space="preserve"> </w:t>
      </w:r>
      <w:r w:rsidRPr="006A5BDE">
        <w:rPr>
          <w:rFonts w:ascii="Garamond" w:hAnsi="Garamond" w:cs="Arial"/>
          <w:i/>
          <w:iCs/>
          <w:sz w:val="22"/>
          <w:szCs w:val="22"/>
        </w:rPr>
        <w:t>Las obras mal ejecutadas ascienden a un $ 28.772.705 (incluido A I del 25%), correspondiente a la estructura y $ 38.041.581,</w:t>
      </w:r>
      <w:r w:rsidRPr="006A5BDE">
        <w:rPr>
          <w:rFonts w:ascii="Garamond" w:hAnsi="Garamond" w:cs="Arial"/>
          <w:i/>
          <w:iCs/>
          <w:sz w:val="22"/>
          <w:szCs w:val="22"/>
        </w:rPr>
        <w:t xml:space="preserve"> </w:t>
      </w:r>
      <w:r w:rsidRPr="006A5BDE">
        <w:rPr>
          <w:rFonts w:ascii="Garamond" w:hAnsi="Garamond" w:cs="Arial"/>
          <w:i/>
          <w:iCs/>
          <w:sz w:val="22"/>
          <w:szCs w:val="22"/>
        </w:rPr>
        <w:t>(incluido Al del 25%).</w:t>
      </w:r>
    </w:p>
    <w:p w14:paraId="6B59EE89" w14:textId="77777777" w:rsidR="002E0C35" w:rsidRPr="006A5BDE" w:rsidRDefault="002E0C35" w:rsidP="002E0C35">
      <w:pPr>
        <w:spacing w:after="0" w:line="240" w:lineRule="auto"/>
        <w:jc w:val="both"/>
        <w:rPr>
          <w:rFonts w:ascii="Garamond" w:hAnsi="Garamond" w:cs="Arial"/>
          <w:i/>
          <w:iCs/>
          <w:sz w:val="22"/>
          <w:szCs w:val="22"/>
        </w:rPr>
      </w:pPr>
    </w:p>
    <w:p w14:paraId="2EDEE0AC" w14:textId="6A16C88F" w:rsidR="002E0C35" w:rsidRPr="006A5BDE" w:rsidRDefault="002E0C35" w:rsidP="002E0C35">
      <w:pPr>
        <w:pStyle w:val="Prrafodelista"/>
        <w:numPr>
          <w:ilvl w:val="0"/>
          <w:numId w:val="3"/>
        </w:numPr>
        <w:spacing w:after="0" w:line="240" w:lineRule="auto"/>
        <w:jc w:val="both"/>
        <w:rPr>
          <w:rFonts w:ascii="Garamond" w:hAnsi="Garamond" w:cs="Arial"/>
          <w:i/>
          <w:iCs/>
          <w:sz w:val="22"/>
          <w:szCs w:val="22"/>
        </w:rPr>
      </w:pPr>
      <w:r w:rsidRPr="006A5BDE">
        <w:rPr>
          <w:rFonts w:ascii="Garamond" w:hAnsi="Garamond" w:cs="Arial"/>
          <w:i/>
          <w:iCs/>
          <w:sz w:val="22"/>
          <w:szCs w:val="22"/>
        </w:rPr>
        <w:t xml:space="preserve">Columnas 300psi, estas presente </w:t>
      </w:r>
      <w:proofErr w:type="spellStart"/>
      <w:r w:rsidRPr="006A5BDE">
        <w:rPr>
          <w:rFonts w:ascii="Garamond" w:hAnsi="Garamond" w:cs="Arial"/>
          <w:i/>
          <w:iCs/>
          <w:sz w:val="22"/>
          <w:szCs w:val="22"/>
        </w:rPr>
        <w:t>hormigoneo</w:t>
      </w:r>
      <w:proofErr w:type="spellEnd"/>
      <w:r w:rsidRPr="006A5BDE">
        <w:rPr>
          <w:rFonts w:ascii="Garamond" w:hAnsi="Garamond" w:cs="Arial"/>
          <w:i/>
          <w:iCs/>
          <w:sz w:val="22"/>
          <w:szCs w:val="22"/>
        </w:rPr>
        <w:t xml:space="preserve"> generalizado, no tiene continuidad y están desalineadas ascienden a</w:t>
      </w:r>
      <w:r w:rsidRPr="006A5BDE">
        <w:rPr>
          <w:rFonts w:ascii="Garamond" w:hAnsi="Garamond" w:cs="Arial"/>
          <w:i/>
          <w:iCs/>
          <w:sz w:val="22"/>
          <w:szCs w:val="22"/>
        </w:rPr>
        <w:t xml:space="preserve"> </w:t>
      </w:r>
      <w:r w:rsidRPr="006A5BDE">
        <w:rPr>
          <w:rFonts w:ascii="Garamond" w:hAnsi="Garamond" w:cs="Arial"/>
          <w:i/>
          <w:iCs/>
          <w:sz w:val="22"/>
          <w:szCs w:val="22"/>
        </w:rPr>
        <w:t>$10.221.777(incluido A I del 25%)</w:t>
      </w:r>
    </w:p>
    <w:p w14:paraId="375E0079" w14:textId="77777777" w:rsidR="002E0C35" w:rsidRPr="006A5BDE" w:rsidRDefault="002E0C35" w:rsidP="002E0C35">
      <w:pPr>
        <w:spacing w:after="0" w:line="240" w:lineRule="auto"/>
        <w:jc w:val="both"/>
        <w:rPr>
          <w:rFonts w:ascii="Garamond" w:hAnsi="Garamond" w:cs="Arial"/>
          <w:i/>
          <w:iCs/>
          <w:sz w:val="22"/>
          <w:szCs w:val="22"/>
        </w:rPr>
      </w:pPr>
    </w:p>
    <w:p w14:paraId="77F7CB77" w14:textId="38B4B101" w:rsidR="002E0C35" w:rsidRPr="006A5BDE" w:rsidRDefault="002E0C35" w:rsidP="002E0C35">
      <w:pPr>
        <w:pStyle w:val="Prrafodelista"/>
        <w:numPr>
          <w:ilvl w:val="0"/>
          <w:numId w:val="3"/>
        </w:numPr>
        <w:spacing w:after="0" w:line="240" w:lineRule="auto"/>
        <w:jc w:val="both"/>
        <w:rPr>
          <w:rFonts w:ascii="Garamond" w:hAnsi="Garamond" w:cs="Arial"/>
          <w:i/>
          <w:iCs/>
          <w:sz w:val="22"/>
          <w:szCs w:val="22"/>
        </w:rPr>
      </w:pPr>
      <w:r w:rsidRPr="006A5BDE">
        <w:rPr>
          <w:rFonts w:ascii="Garamond" w:hAnsi="Garamond" w:cs="Arial"/>
          <w:i/>
          <w:iCs/>
          <w:sz w:val="22"/>
          <w:szCs w:val="22"/>
        </w:rPr>
        <w:t xml:space="preserve">Dentro de las actividades incluidas en el acta de recibo final se encuentra el </w:t>
      </w:r>
      <w:proofErr w:type="spellStart"/>
      <w:r w:rsidRPr="006A5BDE">
        <w:rPr>
          <w:rFonts w:ascii="Garamond" w:hAnsi="Garamond" w:cs="Arial"/>
          <w:i/>
          <w:iCs/>
          <w:sz w:val="22"/>
          <w:szCs w:val="22"/>
        </w:rPr>
        <w:t>tramite</w:t>
      </w:r>
      <w:proofErr w:type="spellEnd"/>
      <w:r w:rsidRPr="006A5BDE">
        <w:rPr>
          <w:rFonts w:ascii="Garamond" w:hAnsi="Garamond" w:cs="Arial"/>
          <w:i/>
          <w:iCs/>
          <w:sz w:val="22"/>
          <w:szCs w:val="22"/>
        </w:rPr>
        <w:t xml:space="preserve"> y obtenciones de nueva licencia de</w:t>
      </w:r>
      <w:r w:rsidRPr="006A5BDE">
        <w:rPr>
          <w:rFonts w:ascii="Garamond" w:hAnsi="Garamond" w:cs="Arial"/>
          <w:i/>
          <w:iCs/>
          <w:sz w:val="22"/>
          <w:szCs w:val="22"/>
        </w:rPr>
        <w:t xml:space="preserve"> </w:t>
      </w:r>
      <w:r w:rsidRPr="006A5BDE">
        <w:rPr>
          <w:rFonts w:ascii="Garamond" w:hAnsi="Garamond" w:cs="Arial"/>
          <w:i/>
          <w:iCs/>
          <w:sz w:val="22"/>
          <w:szCs w:val="22"/>
        </w:rPr>
        <w:t>construcción, lo que es inexplicable por que la licencia ya se encontraba aprobada para la ejecución de la primera fase, esta</w:t>
      </w:r>
      <w:r w:rsidRPr="006A5BDE">
        <w:rPr>
          <w:rFonts w:ascii="Garamond" w:hAnsi="Garamond" w:cs="Arial"/>
          <w:i/>
          <w:iCs/>
          <w:sz w:val="22"/>
          <w:szCs w:val="22"/>
        </w:rPr>
        <w:t xml:space="preserve"> </w:t>
      </w:r>
      <w:r w:rsidRPr="006A5BDE">
        <w:rPr>
          <w:rFonts w:ascii="Garamond" w:hAnsi="Garamond" w:cs="Arial"/>
          <w:i/>
          <w:iCs/>
          <w:sz w:val="22"/>
          <w:szCs w:val="22"/>
        </w:rPr>
        <w:t>actividad tiene un costo total de $ 16.875.00 (incluido A del 25%)</w:t>
      </w:r>
      <w:r w:rsidRPr="006A5BDE">
        <w:rPr>
          <w:rFonts w:ascii="Garamond" w:hAnsi="Garamond" w:cs="Arial"/>
          <w:i/>
          <w:iCs/>
          <w:sz w:val="22"/>
          <w:szCs w:val="22"/>
        </w:rPr>
        <w:t xml:space="preserve"> </w:t>
      </w:r>
      <w:r w:rsidRPr="006A5BDE">
        <w:rPr>
          <w:rFonts w:ascii="Garamond" w:hAnsi="Garamond" w:cs="Arial"/>
          <w:i/>
          <w:iCs/>
          <w:sz w:val="22"/>
          <w:szCs w:val="22"/>
        </w:rPr>
        <w:t xml:space="preserve">Mediante la adición y </w:t>
      </w:r>
      <w:proofErr w:type="spellStart"/>
      <w:r w:rsidRPr="006A5BDE">
        <w:rPr>
          <w:rFonts w:ascii="Garamond" w:hAnsi="Garamond" w:cs="Arial"/>
          <w:i/>
          <w:iCs/>
          <w:sz w:val="22"/>
          <w:szCs w:val="22"/>
        </w:rPr>
        <w:t>prorroga</w:t>
      </w:r>
      <w:proofErr w:type="spellEnd"/>
      <w:r w:rsidRPr="006A5BDE">
        <w:rPr>
          <w:rFonts w:ascii="Garamond" w:hAnsi="Garamond" w:cs="Arial"/>
          <w:i/>
          <w:iCs/>
          <w:sz w:val="22"/>
          <w:szCs w:val="22"/>
        </w:rPr>
        <w:t xml:space="preserve"> del 26 de enero de 2006 al contrato de </w:t>
      </w:r>
      <w:proofErr w:type="spellStart"/>
      <w:r w:rsidRPr="006A5BDE">
        <w:rPr>
          <w:rFonts w:ascii="Garamond" w:hAnsi="Garamond" w:cs="Arial"/>
          <w:i/>
          <w:iCs/>
          <w:sz w:val="22"/>
          <w:szCs w:val="22"/>
        </w:rPr>
        <w:t>consultoria</w:t>
      </w:r>
      <w:proofErr w:type="spellEnd"/>
      <w:r w:rsidRPr="006A5BDE">
        <w:rPr>
          <w:rFonts w:ascii="Garamond" w:hAnsi="Garamond" w:cs="Arial"/>
          <w:i/>
          <w:iCs/>
          <w:sz w:val="22"/>
          <w:szCs w:val="22"/>
        </w:rPr>
        <w:t xml:space="preserve"> 10-059- de 2004 por el valor de</w:t>
      </w:r>
      <w:r w:rsidRPr="006A5BDE">
        <w:rPr>
          <w:rFonts w:ascii="Garamond" w:hAnsi="Garamond" w:cs="Arial"/>
          <w:i/>
          <w:iCs/>
          <w:sz w:val="22"/>
          <w:szCs w:val="22"/>
        </w:rPr>
        <w:t xml:space="preserve"> </w:t>
      </w:r>
      <w:r w:rsidRPr="006A5BDE">
        <w:rPr>
          <w:rFonts w:ascii="Garamond" w:hAnsi="Garamond" w:cs="Arial"/>
          <w:i/>
          <w:iCs/>
          <w:sz w:val="22"/>
          <w:szCs w:val="22"/>
        </w:rPr>
        <w:t xml:space="preserve">13.000.000. se tramitó ante la </w:t>
      </w:r>
      <w:proofErr w:type="spellStart"/>
      <w:r w:rsidRPr="006A5BDE">
        <w:rPr>
          <w:rFonts w:ascii="Garamond" w:hAnsi="Garamond" w:cs="Arial"/>
          <w:i/>
          <w:iCs/>
          <w:sz w:val="22"/>
          <w:szCs w:val="22"/>
        </w:rPr>
        <w:t>Curaduria</w:t>
      </w:r>
      <w:proofErr w:type="spellEnd"/>
      <w:r w:rsidRPr="006A5BDE">
        <w:rPr>
          <w:rFonts w:ascii="Garamond" w:hAnsi="Garamond" w:cs="Arial"/>
          <w:i/>
          <w:iCs/>
          <w:sz w:val="22"/>
          <w:szCs w:val="22"/>
        </w:rPr>
        <w:t xml:space="preserve"> Urbana 2. la Licencia de construcción No. 07-2-0795ejecutoriada el 28 de diciembre</w:t>
      </w:r>
      <w:r w:rsidRPr="006A5BDE">
        <w:rPr>
          <w:rFonts w:ascii="Garamond" w:hAnsi="Garamond" w:cs="Arial"/>
          <w:i/>
          <w:iCs/>
          <w:sz w:val="22"/>
          <w:szCs w:val="22"/>
        </w:rPr>
        <w:t xml:space="preserve"> </w:t>
      </w:r>
      <w:r w:rsidRPr="006A5BDE">
        <w:rPr>
          <w:rFonts w:ascii="Garamond" w:hAnsi="Garamond" w:cs="Arial"/>
          <w:i/>
          <w:iCs/>
          <w:sz w:val="22"/>
          <w:szCs w:val="22"/>
        </w:rPr>
        <w:t>de 2007. por el contratista Consorcio Servicios Varios Chiquinquira. (...)</w:t>
      </w:r>
    </w:p>
    <w:p w14:paraId="78457AF4" w14:textId="77777777" w:rsidR="002E0C35" w:rsidRPr="006A5BDE" w:rsidRDefault="002E0C35" w:rsidP="002E0C35">
      <w:pPr>
        <w:spacing w:after="0" w:line="240" w:lineRule="auto"/>
        <w:jc w:val="both"/>
        <w:rPr>
          <w:rFonts w:ascii="Garamond" w:hAnsi="Garamond" w:cs="Arial"/>
          <w:i/>
          <w:iCs/>
          <w:sz w:val="22"/>
          <w:szCs w:val="22"/>
        </w:rPr>
      </w:pPr>
    </w:p>
    <w:p w14:paraId="43562F26" w14:textId="7D1F97FA" w:rsidR="002E0C35" w:rsidRPr="006A5BDE" w:rsidRDefault="002E0C35" w:rsidP="006A5BDE">
      <w:pPr>
        <w:spacing w:after="0" w:line="240" w:lineRule="auto"/>
        <w:ind w:left="360" w:firstLine="348"/>
        <w:jc w:val="both"/>
        <w:rPr>
          <w:rFonts w:ascii="Garamond" w:hAnsi="Garamond" w:cs="Arial"/>
          <w:i/>
          <w:iCs/>
          <w:sz w:val="22"/>
          <w:szCs w:val="22"/>
        </w:rPr>
      </w:pPr>
      <w:r w:rsidRPr="006A5BDE">
        <w:rPr>
          <w:rFonts w:ascii="Garamond" w:hAnsi="Garamond" w:cs="Arial"/>
          <w:i/>
          <w:iCs/>
          <w:sz w:val="22"/>
          <w:szCs w:val="22"/>
        </w:rPr>
        <w:t>Auto 2 de diciembre de 20012 por el cual se decreta la cesación de la acción fiscal</w:t>
      </w:r>
      <w:r w:rsidRPr="006A5BDE">
        <w:rPr>
          <w:rFonts w:ascii="Garamond" w:hAnsi="Garamond" w:cs="Arial"/>
          <w:i/>
          <w:iCs/>
          <w:sz w:val="22"/>
          <w:szCs w:val="22"/>
        </w:rPr>
        <w:t xml:space="preserve"> </w:t>
      </w:r>
      <w:r w:rsidRPr="006A5BDE">
        <w:rPr>
          <w:rFonts w:ascii="Garamond" w:hAnsi="Garamond" w:cs="Arial"/>
          <w:i/>
          <w:iCs/>
          <w:sz w:val="22"/>
          <w:szCs w:val="22"/>
        </w:rPr>
        <w:t xml:space="preserve">Proceso de responsabilidad fiscal No. 170100-0153/12 </w:t>
      </w:r>
      <w:proofErr w:type="gramStart"/>
      <w:r w:rsidRPr="006A5BDE">
        <w:rPr>
          <w:rFonts w:ascii="Garamond" w:hAnsi="Garamond" w:cs="Arial"/>
          <w:i/>
          <w:iCs/>
          <w:sz w:val="22"/>
          <w:szCs w:val="22"/>
        </w:rPr>
        <w:t xml:space="preserve">(...) </w:t>
      </w:r>
      <w:r w:rsidR="006A5BDE" w:rsidRPr="006A5BDE">
        <w:rPr>
          <w:rFonts w:ascii="Garamond" w:hAnsi="Garamond" w:cs="Arial"/>
          <w:i/>
          <w:iCs/>
          <w:sz w:val="22"/>
          <w:szCs w:val="22"/>
        </w:rPr>
        <w:t xml:space="preserve"> </w:t>
      </w:r>
      <w:r w:rsidRPr="006A5BDE">
        <w:rPr>
          <w:rFonts w:ascii="Garamond" w:hAnsi="Garamond" w:cs="Arial"/>
          <w:i/>
          <w:iCs/>
          <w:sz w:val="22"/>
          <w:szCs w:val="22"/>
        </w:rPr>
        <w:t>En</w:t>
      </w:r>
      <w:proofErr w:type="gramEnd"/>
      <w:r w:rsidRPr="006A5BDE">
        <w:rPr>
          <w:rFonts w:ascii="Garamond" w:hAnsi="Garamond" w:cs="Arial"/>
          <w:i/>
          <w:iCs/>
          <w:sz w:val="22"/>
          <w:szCs w:val="22"/>
        </w:rPr>
        <w:t xml:space="preserve"> el cual se confirma el Auto No.060 del 12 de diciembre de 2012. proferido por la Subdirección del Proceso de</w:t>
      </w:r>
      <w:r w:rsidR="006A5BDE" w:rsidRPr="006A5BDE">
        <w:rPr>
          <w:rFonts w:ascii="Garamond" w:hAnsi="Garamond" w:cs="Arial"/>
          <w:i/>
          <w:iCs/>
          <w:sz w:val="22"/>
          <w:szCs w:val="22"/>
        </w:rPr>
        <w:t xml:space="preserve"> </w:t>
      </w:r>
      <w:r w:rsidRPr="006A5BDE">
        <w:rPr>
          <w:rFonts w:ascii="Garamond" w:hAnsi="Garamond" w:cs="Arial"/>
          <w:i/>
          <w:iCs/>
          <w:sz w:val="22"/>
          <w:szCs w:val="22"/>
        </w:rPr>
        <w:t>Responsabilidad Fiscal, mediante el cual se decidió cesar la Acción Fiscal y archivar el proceso de Responsabilidad Fiscal</w:t>
      </w:r>
      <w:r w:rsidR="006A5BDE" w:rsidRPr="006A5BDE">
        <w:rPr>
          <w:rFonts w:ascii="Garamond" w:hAnsi="Garamond" w:cs="Arial"/>
          <w:i/>
          <w:iCs/>
          <w:sz w:val="22"/>
          <w:szCs w:val="22"/>
        </w:rPr>
        <w:t xml:space="preserve"> </w:t>
      </w:r>
      <w:r w:rsidRPr="006A5BDE">
        <w:rPr>
          <w:rFonts w:ascii="Garamond" w:hAnsi="Garamond" w:cs="Arial"/>
          <w:i/>
          <w:iCs/>
          <w:sz w:val="22"/>
          <w:szCs w:val="22"/>
        </w:rPr>
        <w:t>No. 170100-0153/12 por resarcimiento del daño patrimonial, adelantado en el Instituto Distrital de la Participación y Acción</w:t>
      </w:r>
    </w:p>
    <w:p w14:paraId="1CFA8FCD" w14:textId="33AD7AEC" w:rsidR="002E0C35" w:rsidRDefault="002E0C35" w:rsidP="006A5BDE">
      <w:pPr>
        <w:spacing w:after="0" w:line="240" w:lineRule="auto"/>
        <w:ind w:left="360"/>
        <w:jc w:val="both"/>
        <w:rPr>
          <w:rFonts w:ascii="Garamond" w:hAnsi="Garamond" w:cs="Arial"/>
          <w:i/>
          <w:iCs/>
          <w:sz w:val="22"/>
          <w:szCs w:val="22"/>
        </w:rPr>
      </w:pPr>
      <w:r w:rsidRPr="006A5BDE">
        <w:rPr>
          <w:rFonts w:ascii="Garamond" w:hAnsi="Garamond" w:cs="Arial"/>
          <w:i/>
          <w:iCs/>
          <w:sz w:val="22"/>
          <w:szCs w:val="22"/>
        </w:rPr>
        <w:t xml:space="preserve">Comunal IDPAC, en </w:t>
      </w:r>
      <w:proofErr w:type="spellStart"/>
      <w:r w:rsidRPr="006A5BDE">
        <w:rPr>
          <w:rFonts w:ascii="Garamond" w:hAnsi="Garamond" w:cs="Arial"/>
          <w:i/>
          <w:iCs/>
          <w:sz w:val="22"/>
          <w:szCs w:val="22"/>
        </w:rPr>
        <w:t>cuantia</w:t>
      </w:r>
      <w:proofErr w:type="spellEnd"/>
      <w:r w:rsidRPr="006A5BDE">
        <w:rPr>
          <w:rFonts w:ascii="Garamond" w:hAnsi="Garamond" w:cs="Arial"/>
          <w:i/>
          <w:iCs/>
          <w:sz w:val="22"/>
          <w:szCs w:val="22"/>
        </w:rPr>
        <w:t xml:space="preserve"> de Ochocientos Quince Mil Quinientos </w:t>
      </w:r>
      <w:proofErr w:type="gramStart"/>
      <w:r w:rsidRPr="006A5BDE">
        <w:rPr>
          <w:rFonts w:ascii="Garamond" w:hAnsi="Garamond" w:cs="Arial"/>
          <w:i/>
          <w:iCs/>
          <w:sz w:val="22"/>
          <w:szCs w:val="22"/>
        </w:rPr>
        <w:t>Pesos</w:t>
      </w:r>
      <w:proofErr w:type="gramEnd"/>
      <w:r w:rsidRPr="006A5BDE">
        <w:rPr>
          <w:rFonts w:ascii="Garamond" w:hAnsi="Garamond" w:cs="Arial"/>
          <w:i/>
          <w:iCs/>
          <w:sz w:val="22"/>
          <w:szCs w:val="22"/>
        </w:rPr>
        <w:t xml:space="preserve"> ($ 815.000) M/</w:t>
      </w:r>
      <w:proofErr w:type="spellStart"/>
      <w:r w:rsidRPr="006A5BDE">
        <w:rPr>
          <w:rFonts w:ascii="Garamond" w:hAnsi="Garamond" w:cs="Arial"/>
          <w:i/>
          <w:iCs/>
          <w:sz w:val="22"/>
          <w:szCs w:val="22"/>
        </w:rPr>
        <w:t>Cle</w:t>
      </w:r>
      <w:proofErr w:type="spellEnd"/>
      <w:r w:rsidRPr="006A5BDE">
        <w:rPr>
          <w:rFonts w:ascii="Garamond" w:hAnsi="Garamond" w:cs="Arial"/>
          <w:i/>
          <w:iCs/>
          <w:sz w:val="22"/>
          <w:szCs w:val="22"/>
        </w:rPr>
        <w:t>, a favor de FUNDACIÓN</w:t>
      </w:r>
      <w:r w:rsidR="006A5BDE" w:rsidRPr="006A5BDE">
        <w:rPr>
          <w:rFonts w:ascii="Garamond" w:hAnsi="Garamond" w:cs="Arial"/>
          <w:i/>
          <w:iCs/>
          <w:sz w:val="22"/>
          <w:szCs w:val="22"/>
        </w:rPr>
        <w:t xml:space="preserve"> </w:t>
      </w:r>
      <w:r w:rsidRPr="006A5BDE">
        <w:rPr>
          <w:rFonts w:ascii="Garamond" w:hAnsi="Garamond" w:cs="Arial"/>
          <w:i/>
          <w:iCs/>
          <w:sz w:val="22"/>
          <w:szCs w:val="22"/>
        </w:rPr>
        <w:t>PARA el Fomento Integral FUNFOSOIN, con NIT 830.032.425-5, en calidad de Contratista: OLGA BEATRIZ TOBAR, en</w:t>
      </w:r>
      <w:r w:rsidR="006A5BDE" w:rsidRPr="006A5BDE">
        <w:rPr>
          <w:rFonts w:ascii="Garamond" w:hAnsi="Garamond" w:cs="Arial"/>
          <w:i/>
          <w:iCs/>
          <w:sz w:val="22"/>
          <w:szCs w:val="22"/>
        </w:rPr>
        <w:t xml:space="preserve"> </w:t>
      </w:r>
      <w:r w:rsidRPr="006A5BDE">
        <w:rPr>
          <w:rFonts w:ascii="Garamond" w:hAnsi="Garamond" w:cs="Arial"/>
          <w:i/>
          <w:iCs/>
          <w:sz w:val="22"/>
          <w:szCs w:val="22"/>
        </w:rPr>
        <w:t xml:space="preserve">calidad de </w:t>
      </w:r>
      <w:proofErr w:type="gramStart"/>
      <w:r w:rsidRPr="006A5BDE">
        <w:rPr>
          <w:rFonts w:ascii="Garamond" w:hAnsi="Garamond" w:cs="Arial"/>
          <w:i/>
          <w:iCs/>
          <w:sz w:val="22"/>
          <w:szCs w:val="22"/>
        </w:rPr>
        <w:t>Directora General</w:t>
      </w:r>
      <w:proofErr w:type="gramEnd"/>
      <w:r w:rsidRPr="006A5BDE">
        <w:rPr>
          <w:rFonts w:ascii="Garamond" w:hAnsi="Garamond" w:cs="Arial"/>
          <w:i/>
          <w:iCs/>
          <w:sz w:val="22"/>
          <w:szCs w:val="22"/>
        </w:rPr>
        <w:t xml:space="preserve"> del IDPAC: Mauricio Torres Muñoz, en calidad de interventor del Contrato y Abelardo Gordillo</w:t>
      </w:r>
      <w:r w:rsidR="006A5BDE" w:rsidRPr="006A5BDE">
        <w:rPr>
          <w:rFonts w:ascii="Garamond" w:hAnsi="Garamond" w:cs="Arial"/>
          <w:i/>
          <w:iCs/>
          <w:sz w:val="22"/>
          <w:szCs w:val="22"/>
        </w:rPr>
        <w:t xml:space="preserve"> </w:t>
      </w:r>
      <w:r w:rsidRPr="006A5BDE">
        <w:rPr>
          <w:rFonts w:ascii="Garamond" w:hAnsi="Garamond" w:cs="Arial"/>
          <w:i/>
          <w:iCs/>
          <w:sz w:val="22"/>
          <w:szCs w:val="22"/>
        </w:rPr>
        <w:t>salinas en Calidad de Supervisor del Contralo. (...)</w:t>
      </w:r>
    </w:p>
    <w:p w14:paraId="6E14B0A7" w14:textId="77777777" w:rsidR="006A5BDE" w:rsidRDefault="006A5BDE" w:rsidP="002E0C35">
      <w:pPr>
        <w:spacing w:after="0" w:line="240" w:lineRule="auto"/>
        <w:jc w:val="both"/>
        <w:rPr>
          <w:rFonts w:ascii="Garamond" w:hAnsi="Garamond" w:cs="Arial"/>
          <w:i/>
          <w:iCs/>
          <w:sz w:val="22"/>
          <w:szCs w:val="22"/>
        </w:rPr>
      </w:pPr>
    </w:p>
    <w:p w14:paraId="749F61EC" w14:textId="5E154D92" w:rsidR="006A5BDE" w:rsidRPr="006A5BDE" w:rsidRDefault="006A5BDE" w:rsidP="006A5BDE">
      <w:pPr>
        <w:spacing w:after="0" w:line="240" w:lineRule="auto"/>
        <w:jc w:val="both"/>
        <w:rPr>
          <w:rFonts w:ascii="Garamond" w:hAnsi="Garamond" w:cs="Arial"/>
          <w:i/>
          <w:iCs/>
          <w:sz w:val="22"/>
          <w:szCs w:val="22"/>
        </w:rPr>
      </w:pPr>
      <w:r>
        <w:rPr>
          <w:rFonts w:ascii="Garamond" w:hAnsi="Garamond" w:cs="Arial"/>
          <w:i/>
          <w:iCs/>
          <w:sz w:val="22"/>
          <w:szCs w:val="22"/>
        </w:rPr>
        <w:t xml:space="preserve">IX </w:t>
      </w:r>
      <w:r w:rsidRPr="006A5BDE">
        <w:rPr>
          <w:rFonts w:ascii="Garamond" w:hAnsi="Garamond" w:cs="Arial"/>
          <w:i/>
          <w:iCs/>
          <w:sz w:val="22"/>
          <w:szCs w:val="22"/>
        </w:rPr>
        <w:t>DECLARATORIA DE INCUMPLIMIENTO CONTRACTUAL DEL CONTRATO CON ENTIDAD PRIVADA SIN ANIMO DE</w:t>
      </w:r>
      <w:r>
        <w:rPr>
          <w:rFonts w:ascii="Garamond" w:hAnsi="Garamond" w:cs="Arial"/>
          <w:i/>
          <w:iCs/>
          <w:sz w:val="22"/>
          <w:szCs w:val="22"/>
        </w:rPr>
        <w:t xml:space="preserve"> </w:t>
      </w:r>
      <w:r w:rsidRPr="006A5BDE">
        <w:rPr>
          <w:rFonts w:ascii="Garamond" w:hAnsi="Garamond" w:cs="Arial"/>
          <w:i/>
          <w:iCs/>
          <w:sz w:val="22"/>
          <w:szCs w:val="22"/>
        </w:rPr>
        <w:t>LUCRO NO. 10-04-188-2009:</w:t>
      </w:r>
    </w:p>
    <w:p w14:paraId="1C7EAF52" w14:textId="71DFFB27" w:rsidR="006A5BDE" w:rsidRDefault="006A5BDE" w:rsidP="006A5BDE">
      <w:pPr>
        <w:spacing w:after="0" w:line="240" w:lineRule="auto"/>
        <w:jc w:val="both"/>
        <w:rPr>
          <w:rFonts w:ascii="Garamond" w:hAnsi="Garamond" w:cs="Arial"/>
          <w:i/>
          <w:iCs/>
          <w:sz w:val="22"/>
          <w:szCs w:val="22"/>
        </w:rPr>
      </w:pPr>
      <w:r w:rsidRPr="006A5BDE">
        <w:rPr>
          <w:rFonts w:ascii="Garamond" w:hAnsi="Garamond" w:cs="Arial"/>
          <w:i/>
          <w:iCs/>
          <w:sz w:val="22"/>
          <w:szCs w:val="22"/>
        </w:rPr>
        <w:t xml:space="preserve">En cumplimiento a lo establecido en el </w:t>
      </w:r>
      <w:proofErr w:type="spellStart"/>
      <w:r w:rsidRPr="006A5BDE">
        <w:rPr>
          <w:rFonts w:ascii="Garamond" w:hAnsi="Garamond" w:cs="Arial"/>
          <w:i/>
          <w:iCs/>
          <w:sz w:val="22"/>
          <w:szCs w:val="22"/>
        </w:rPr>
        <w:t>articulo</w:t>
      </w:r>
      <w:proofErr w:type="spellEnd"/>
      <w:r w:rsidRPr="006A5BDE">
        <w:rPr>
          <w:rFonts w:ascii="Garamond" w:hAnsi="Garamond" w:cs="Arial"/>
          <w:i/>
          <w:iCs/>
          <w:sz w:val="22"/>
          <w:szCs w:val="22"/>
        </w:rPr>
        <w:t xml:space="preserve"> 86 de la Ley 1474 de 2011, la Gerencia de Proyectos a través de la Resolución</w:t>
      </w:r>
      <w:r>
        <w:rPr>
          <w:rFonts w:ascii="Garamond" w:hAnsi="Garamond" w:cs="Arial"/>
          <w:i/>
          <w:iCs/>
          <w:sz w:val="22"/>
          <w:szCs w:val="22"/>
        </w:rPr>
        <w:t xml:space="preserve"> </w:t>
      </w:r>
      <w:r w:rsidRPr="006A5BDE">
        <w:rPr>
          <w:rFonts w:ascii="Garamond" w:hAnsi="Garamond" w:cs="Arial"/>
          <w:i/>
          <w:iCs/>
          <w:sz w:val="22"/>
          <w:szCs w:val="22"/>
        </w:rPr>
        <w:t xml:space="preserve">No.370 de fecha 19 de diciembre. por medio de la cual se resuelve </w:t>
      </w:r>
      <w:proofErr w:type="gramStart"/>
      <w:r w:rsidRPr="006A5BDE">
        <w:rPr>
          <w:rFonts w:ascii="Garamond" w:hAnsi="Garamond" w:cs="Arial"/>
          <w:i/>
          <w:iCs/>
          <w:sz w:val="22"/>
          <w:szCs w:val="22"/>
        </w:rPr>
        <w:t>el recursos</w:t>
      </w:r>
      <w:proofErr w:type="gramEnd"/>
      <w:r w:rsidRPr="006A5BDE">
        <w:rPr>
          <w:rFonts w:ascii="Garamond" w:hAnsi="Garamond" w:cs="Arial"/>
          <w:i/>
          <w:iCs/>
          <w:sz w:val="22"/>
          <w:szCs w:val="22"/>
        </w:rPr>
        <w:t xml:space="preserve"> de reposición interpuesto contra Resolución 331de</w:t>
      </w:r>
      <w:r>
        <w:rPr>
          <w:rFonts w:ascii="Garamond" w:hAnsi="Garamond" w:cs="Arial"/>
          <w:i/>
          <w:iCs/>
          <w:sz w:val="22"/>
          <w:szCs w:val="22"/>
        </w:rPr>
        <w:t xml:space="preserve"> </w:t>
      </w:r>
      <w:r w:rsidRPr="006A5BDE">
        <w:rPr>
          <w:rFonts w:ascii="Garamond" w:hAnsi="Garamond" w:cs="Arial"/>
          <w:i/>
          <w:iCs/>
          <w:sz w:val="22"/>
          <w:szCs w:val="22"/>
        </w:rPr>
        <w:t xml:space="preserve">fecha 20 noviembre de 2013, declaró el siniestro de incumplimiento del Contrato con Entidad Privada sin </w:t>
      </w:r>
      <w:proofErr w:type="spellStart"/>
      <w:r w:rsidRPr="006A5BDE">
        <w:rPr>
          <w:rFonts w:ascii="Garamond" w:hAnsi="Garamond" w:cs="Arial"/>
          <w:i/>
          <w:iCs/>
          <w:sz w:val="22"/>
          <w:szCs w:val="22"/>
        </w:rPr>
        <w:t>Animo</w:t>
      </w:r>
      <w:proofErr w:type="spellEnd"/>
      <w:r w:rsidRPr="006A5BDE">
        <w:rPr>
          <w:rFonts w:ascii="Garamond" w:hAnsi="Garamond" w:cs="Arial"/>
          <w:i/>
          <w:iCs/>
          <w:sz w:val="22"/>
          <w:szCs w:val="22"/>
        </w:rPr>
        <w:t xml:space="preserve"> de Lucro No. 10-04-188-2009, y ordenó hacer efectiva la </w:t>
      </w:r>
      <w:proofErr w:type="spellStart"/>
      <w:r w:rsidRPr="006A5BDE">
        <w:rPr>
          <w:rFonts w:ascii="Garamond" w:hAnsi="Garamond" w:cs="Arial"/>
          <w:i/>
          <w:iCs/>
          <w:sz w:val="22"/>
          <w:szCs w:val="22"/>
        </w:rPr>
        <w:t>garantia</w:t>
      </w:r>
      <w:proofErr w:type="spellEnd"/>
      <w:r w:rsidRPr="006A5BDE">
        <w:rPr>
          <w:rFonts w:ascii="Garamond" w:hAnsi="Garamond" w:cs="Arial"/>
          <w:i/>
          <w:iCs/>
          <w:sz w:val="22"/>
          <w:szCs w:val="22"/>
        </w:rPr>
        <w:t xml:space="preserve"> única de cumplimiento y estabilidad de la obra, bajo los siguientes fundamentos:</w:t>
      </w:r>
    </w:p>
    <w:p w14:paraId="4304292A" w14:textId="77777777" w:rsidR="006A5BDE" w:rsidRDefault="006A5BDE" w:rsidP="006A5BDE">
      <w:pPr>
        <w:spacing w:after="0" w:line="240" w:lineRule="auto"/>
        <w:jc w:val="both"/>
        <w:rPr>
          <w:rFonts w:ascii="Garamond" w:hAnsi="Garamond" w:cs="Arial"/>
          <w:i/>
          <w:iCs/>
          <w:sz w:val="22"/>
          <w:szCs w:val="22"/>
        </w:rPr>
      </w:pPr>
    </w:p>
    <w:p w14:paraId="0F235D3C" w14:textId="77777777" w:rsidR="006A5BDE" w:rsidRDefault="006A5BDE" w:rsidP="006A5BDE">
      <w:pPr>
        <w:spacing w:after="0" w:line="240" w:lineRule="auto"/>
        <w:jc w:val="both"/>
        <w:rPr>
          <w:rFonts w:ascii="Garamond" w:hAnsi="Garamond" w:cs="Arial"/>
          <w:i/>
          <w:iCs/>
          <w:sz w:val="22"/>
          <w:szCs w:val="22"/>
        </w:rPr>
      </w:pPr>
    </w:p>
    <w:p w14:paraId="09E295AB" w14:textId="77777777" w:rsidR="006A5BDE" w:rsidRDefault="006A5BDE" w:rsidP="006A5BDE">
      <w:pPr>
        <w:spacing w:after="0" w:line="240" w:lineRule="auto"/>
        <w:jc w:val="both"/>
        <w:rPr>
          <w:rFonts w:ascii="Garamond" w:hAnsi="Garamond" w:cs="Arial"/>
          <w:i/>
          <w:iCs/>
          <w:sz w:val="22"/>
          <w:szCs w:val="22"/>
        </w:rPr>
      </w:pPr>
    </w:p>
    <w:p w14:paraId="5EAE7EBA" w14:textId="77777777" w:rsidR="006A5BDE" w:rsidRDefault="006A5BDE" w:rsidP="006A5BDE">
      <w:pPr>
        <w:spacing w:after="0" w:line="240" w:lineRule="auto"/>
        <w:jc w:val="both"/>
        <w:rPr>
          <w:rFonts w:ascii="Garamond" w:hAnsi="Garamond" w:cs="Arial"/>
          <w:i/>
          <w:iCs/>
          <w:sz w:val="22"/>
          <w:szCs w:val="22"/>
        </w:rPr>
      </w:pPr>
    </w:p>
    <w:p w14:paraId="31B501B0" w14:textId="77777777" w:rsidR="006A5BDE" w:rsidRDefault="006A5BDE" w:rsidP="006A5BDE">
      <w:pPr>
        <w:spacing w:after="0" w:line="240" w:lineRule="auto"/>
        <w:jc w:val="both"/>
        <w:rPr>
          <w:rFonts w:ascii="Garamond" w:hAnsi="Garamond" w:cs="Arial"/>
          <w:i/>
          <w:iCs/>
          <w:sz w:val="22"/>
          <w:szCs w:val="22"/>
        </w:rPr>
      </w:pPr>
    </w:p>
    <w:p w14:paraId="2F656860" w14:textId="77777777" w:rsidR="006A5BDE" w:rsidRDefault="006A5BDE" w:rsidP="006A5BDE">
      <w:pPr>
        <w:spacing w:after="0" w:line="240" w:lineRule="auto"/>
        <w:jc w:val="both"/>
        <w:rPr>
          <w:rFonts w:ascii="Garamond" w:hAnsi="Garamond" w:cs="Arial"/>
          <w:i/>
          <w:iCs/>
          <w:sz w:val="22"/>
          <w:szCs w:val="22"/>
        </w:rPr>
      </w:pPr>
    </w:p>
    <w:p w14:paraId="785D6F42" w14:textId="25DF71EE" w:rsidR="006A5BDE" w:rsidRPr="006A5BDE" w:rsidRDefault="006A5BDE" w:rsidP="006A5BDE">
      <w:pPr>
        <w:spacing w:after="0" w:line="240" w:lineRule="auto"/>
        <w:jc w:val="both"/>
        <w:rPr>
          <w:rFonts w:ascii="Garamond" w:hAnsi="Garamond" w:cs="Arial"/>
          <w:i/>
          <w:iCs/>
          <w:sz w:val="22"/>
          <w:szCs w:val="22"/>
        </w:rPr>
      </w:pPr>
      <w:r w:rsidRPr="006A5BDE">
        <w:rPr>
          <w:rFonts w:ascii="Garamond" w:hAnsi="Garamond" w:cs="Arial"/>
          <w:i/>
          <w:iCs/>
          <w:sz w:val="22"/>
          <w:szCs w:val="22"/>
        </w:rPr>
        <w:t>X. HECHOS CONSTITUTIVOS DEL PRESUNTO INCUMPLIMIENTO EN ALUSIÓN A LAS CLÁUSULAS CONTRACTUALES</w:t>
      </w:r>
      <w:r>
        <w:rPr>
          <w:rFonts w:ascii="Garamond" w:hAnsi="Garamond" w:cs="Arial"/>
          <w:i/>
          <w:iCs/>
          <w:sz w:val="22"/>
          <w:szCs w:val="22"/>
        </w:rPr>
        <w:t xml:space="preserve"> </w:t>
      </w:r>
      <w:r w:rsidRPr="006A5BDE">
        <w:rPr>
          <w:rFonts w:ascii="Garamond" w:hAnsi="Garamond" w:cs="Arial"/>
          <w:i/>
          <w:iCs/>
          <w:sz w:val="22"/>
          <w:szCs w:val="22"/>
        </w:rPr>
        <w:t>EN QUE REPOSAN LAS OBLIGACIONES GENERALES, RELACIONADAS CON LOS COMPONENTES</w:t>
      </w:r>
    </w:p>
    <w:p w14:paraId="33822832" w14:textId="77777777" w:rsidR="006A5BDE" w:rsidRPr="006A5BDE" w:rsidRDefault="006A5BDE" w:rsidP="006A5BDE">
      <w:pPr>
        <w:spacing w:after="0" w:line="240" w:lineRule="auto"/>
        <w:jc w:val="both"/>
        <w:rPr>
          <w:rFonts w:ascii="Garamond" w:hAnsi="Garamond" w:cs="Arial"/>
          <w:i/>
          <w:iCs/>
          <w:sz w:val="22"/>
          <w:szCs w:val="22"/>
        </w:rPr>
      </w:pPr>
      <w:r w:rsidRPr="006A5BDE">
        <w:rPr>
          <w:rFonts w:ascii="Garamond" w:hAnsi="Garamond" w:cs="Arial"/>
          <w:i/>
          <w:iCs/>
          <w:sz w:val="22"/>
          <w:szCs w:val="22"/>
        </w:rPr>
        <w:t xml:space="preserve">Una vez revisado el expediente contractual se evidencian los informes allegados a </w:t>
      </w:r>
      <w:proofErr w:type="gramStart"/>
      <w:r w:rsidRPr="006A5BDE">
        <w:rPr>
          <w:rFonts w:ascii="Garamond" w:hAnsi="Garamond" w:cs="Arial"/>
          <w:i/>
          <w:iCs/>
          <w:sz w:val="22"/>
          <w:szCs w:val="22"/>
        </w:rPr>
        <w:t>éste</w:t>
      </w:r>
      <w:proofErr w:type="gramEnd"/>
      <w:r w:rsidRPr="006A5BDE">
        <w:rPr>
          <w:rFonts w:ascii="Garamond" w:hAnsi="Garamond" w:cs="Arial"/>
          <w:i/>
          <w:iCs/>
          <w:sz w:val="22"/>
          <w:szCs w:val="22"/>
        </w:rPr>
        <w:t xml:space="preserve"> Despacho por el Interventor y los</w:t>
      </w:r>
    </w:p>
    <w:p w14:paraId="234CCB53" w14:textId="77777777" w:rsidR="006A5BDE" w:rsidRPr="006A5BDE" w:rsidRDefault="006A5BDE" w:rsidP="006A5BDE">
      <w:pPr>
        <w:spacing w:after="0" w:line="240" w:lineRule="auto"/>
        <w:jc w:val="both"/>
        <w:rPr>
          <w:rFonts w:ascii="Garamond" w:hAnsi="Garamond" w:cs="Arial"/>
          <w:i/>
          <w:iCs/>
          <w:sz w:val="22"/>
          <w:szCs w:val="22"/>
        </w:rPr>
      </w:pPr>
      <w:r w:rsidRPr="006A5BDE">
        <w:rPr>
          <w:rFonts w:ascii="Garamond" w:hAnsi="Garamond" w:cs="Arial"/>
          <w:i/>
          <w:iCs/>
          <w:sz w:val="22"/>
          <w:szCs w:val="22"/>
        </w:rPr>
        <w:t>Profesionales Técnico, Social y Financiero de la Gerencia de Proyectos, conductas y hechos constitutivos del presunto</w:t>
      </w:r>
    </w:p>
    <w:p w14:paraId="5420FBBA" w14:textId="77777777" w:rsidR="006A5BDE" w:rsidRPr="006A5BDE" w:rsidRDefault="006A5BDE" w:rsidP="006A5BDE">
      <w:pPr>
        <w:spacing w:after="0" w:line="240" w:lineRule="auto"/>
        <w:jc w:val="both"/>
        <w:rPr>
          <w:rFonts w:ascii="Garamond" w:hAnsi="Garamond" w:cs="Arial"/>
          <w:i/>
          <w:iCs/>
          <w:sz w:val="22"/>
          <w:szCs w:val="22"/>
        </w:rPr>
      </w:pPr>
      <w:r w:rsidRPr="006A5BDE">
        <w:rPr>
          <w:rFonts w:ascii="Garamond" w:hAnsi="Garamond" w:cs="Arial"/>
          <w:i/>
          <w:iCs/>
          <w:sz w:val="22"/>
          <w:szCs w:val="22"/>
        </w:rPr>
        <w:t>incumplimiento del contratista.</w:t>
      </w:r>
    </w:p>
    <w:p w14:paraId="106600D7" w14:textId="77777777" w:rsidR="006A5BDE" w:rsidRPr="006A5BDE" w:rsidRDefault="006A5BDE" w:rsidP="006A5BDE">
      <w:pPr>
        <w:spacing w:after="0" w:line="240" w:lineRule="auto"/>
        <w:jc w:val="both"/>
        <w:rPr>
          <w:rFonts w:ascii="Garamond" w:hAnsi="Garamond" w:cs="Arial"/>
          <w:i/>
          <w:iCs/>
          <w:sz w:val="22"/>
          <w:szCs w:val="22"/>
        </w:rPr>
      </w:pPr>
    </w:p>
    <w:p w14:paraId="536F64AC" w14:textId="120A0D68" w:rsidR="006A5BDE" w:rsidRPr="006A5BDE" w:rsidRDefault="006A5BDE" w:rsidP="006A5BDE">
      <w:pPr>
        <w:pStyle w:val="Prrafodelista"/>
        <w:numPr>
          <w:ilvl w:val="0"/>
          <w:numId w:val="4"/>
        </w:numPr>
        <w:spacing w:after="0" w:line="240" w:lineRule="auto"/>
        <w:jc w:val="both"/>
        <w:rPr>
          <w:rFonts w:ascii="Garamond" w:hAnsi="Garamond" w:cs="Arial"/>
          <w:i/>
          <w:iCs/>
          <w:sz w:val="22"/>
          <w:szCs w:val="22"/>
        </w:rPr>
      </w:pPr>
      <w:r w:rsidRPr="006A5BDE">
        <w:rPr>
          <w:rFonts w:ascii="Garamond" w:hAnsi="Garamond" w:cs="Arial"/>
          <w:i/>
          <w:iCs/>
          <w:sz w:val="22"/>
          <w:szCs w:val="22"/>
        </w:rPr>
        <w:t>Que mediante oficio del 21 de mayo de 2013 (GP 1019), el Supervisor Técnico del contrato, ingeniero Eriks Mosquera, informo</w:t>
      </w:r>
      <w:r w:rsidRPr="006A5BDE">
        <w:rPr>
          <w:rFonts w:ascii="Garamond" w:hAnsi="Garamond" w:cs="Arial"/>
          <w:i/>
          <w:iCs/>
          <w:sz w:val="22"/>
          <w:szCs w:val="22"/>
        </w:rPr>
        <w:t xml:space="preserve"> </w:t>
      </w:r>
      <w:r w:rsidRPr="006A5BDE">
        <w:rPr>
          <w:rFonts w:ascii="Garamond" w:hAnsi="Garamond" w:cs="Arial"/>
          <w:i/>
          <w:iCs/>
          <w:sz w:val="22"/>
          <w:szCs w:val="22"/>
        </w:rPr>
        <w:t>sobre la existencia de un presunto incumplimiento de las obligaciones mención.</w:t>
      </w:r>
    </w:p>
    <w:p w14:paraId="7375EFC0" w14:textId="77777777" w:rsidR="006A5BDE" w:rsidRPr="006A5BDE" w:rsidRDefault="006A5BDE" w:rsidP="006A5BDE">
      <w:pPr>
        <w:spacing w:after="0" w:line="240" w:lineRule="auto"/>
        <w:jc w:val="both"/>
        <w:rPr>
          <w:rFonts w:ascii="Garamond" w:hAnsi="Garamond" w:cs="Arial"/>
          <w:i/>
          <w:iCs/>
          <w:sz w:val="22"/>
          <w:szCs w:val="22"/>
        </w:rPr>
      </w:pPr>
    </w:p>
    <w:p w14:paraId="0E7B8DB7" w14:textId="59069972" w:rsidR="006A5BDE" w:rsidRPr="006A5BDE" w:rsidRDefault="006A5BDE" w:rsidP="006A5BDE">
      <w:pPr>
        <w:pStyle w:val="Prrafodelista"/>
        <w:numPr>
          <w:ilvl w:val="0"/>
          <w:numId w:val="4"/>
        </w:numPr>
        <w:spacing w:after="0" w:line="240" w:lineRule="auto"/>
        <w:jc w:val="both"/>
        <w:rPr>
          <w:rFonts w:ascii="Garamond" w:hAnsi="Garamond" w:cs="Arial"/>
          <w:i/>
          <w:iCs/>
          <w:sz w:val="22"/>
          <w:szCs w:val="22"/>
        </w:rPr>
      </w:pPr>
      <w:r w:rsidRPr="006A5BDE">
        <w:rPr>
          <w:rFonts w:ascii="Garamond" w:hAnsi="Garamond" w:cs="Arial"/>
          <w:i/>
          <w:iCs/>
          <w:sz w:val="22"/>
          <w:szCs w:val="22"/>
        </w:rPr>
        <w:t>De acuerdo</w:t>
      </w:r>
      <w:r w:rsidRPr="006A5BDE">
        <w:rPr>
          <w:rFonts w:ascii="Garamond" w:hAnsi="Garamond" w:cs="Arial"/>
          <w:i/>
          <w:iCs/>
          <w:sz w:val="22"/>
          <w:szCs w:val="22"/>
        </w:rPr>
        <w:t xml:space="preserve"> con los informes allegados por el Profesional Técnico fueron hechos constitutivo </w:t>
      </w:r>
      <w:proofErr w:type="gramStart"/>
      <w:r w:rsidRPr="006A5BDE">
        <w:rPr>
          <w:rFonts w:ascii="Garamond" w:hAnsi="Garamond" w:cs="Arial"/>
          <w:i/>
          <w:iCs/>
          <w:sz w:val="22"/>
          <w:szCs w:val="22"/>
        </w:rPr>
        <w:t>del incumplimientos</w:t>
      </w:r>
      <w:proofErr w:type="gramEnd"/>
      <w:r w:rsidRPr="006A5BDE">
        <w:rPr>
          <w:rFonts w:ascii="Garamond" w:hAnsi="Garamond" w:cs="Arial"/>
          <w:i/>
          <w:iCs/>
          <w:sz w:val="22"/>
          <w:szCs w:val="22"/>
        </w:rPr>
        <w:t xml:space="preserve"> los siguientes:</w:t>
      </w:r>
    </w:p>
    <w:p w14:paraId="34F86DCA" w14:textId="77777777" w:rsidR="006A5BDE" w:rsidRPr="006A5BDE" w:rsidRDefault="006A5BDE" w:rsidP="006A5BDE">
      <w:pPr>
        <w:spacing w:after="0" w:line="240" w:lineRule="auto"/>
        <w:jc w:val="both"/>
        <w:rPr>
          <w:rFonts w:ascii="Garamond" w:hAnsi="Garamond" w:cs="Arial"/>
          <w:i/>
          <w:iCs/>
          <w:sz w:val="22"/>
          <w:szCs w:val="22"/>
        </w:rPr>
      </w:pPr>
    </w:p>
    <w:p w14:paraId="39989CB9"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No se cumplió con los recubiertos establecidos en las especificaciones o en las normas técnicas vigentes.</w:t>
      </w:r>
    </w:p>
    <w:p w14:paraId="2EC143D8" w14:textId="77777777" w:rsidR="006A5BDE" w:rsidRPr="006A5BDE" w:rsidRDefault="006A5BDE" w:rsidP="006A5BDE">
      <w:pPr>
        <w:spacing w:after="0" w:line="240" w:lineRule="auto"/>
        <w:jc w:val="both"/>
        <w:rPr>
          <w:rFonts w:ascii="Garamond" w:hAnsi="Garamond" w:cs="Arial"/>
          <w:i/>
          <w:iCs/>
          <w:sz w:val="22"/>
          <w:szCs w:val="22"/>
        </w:rPr>
      </w:pPr>
    </w:p>
    <w:p w14:paraId="132CE3D1" w14:textId="75076034" w:rsidR="006A5BDE" w:rsidRPr="006A5BDE" w:rsidRDefault="006A5BDE" w:rsidP="006A5BDE">
      <w:pPr>
        <w:spacing w:after="0" w:line="240" w:lineRule="auto"/>
        <w:ind w:left="360"/>
        <w:jc w:val="both"/>
        <w:rPr>
          <w:rFonts w:ascii="Garamond" w:hAnsi="Garamond" w:cs="Arial"/>
          <w:i/>
          <w:iCs/>
          <w:sz w:val="22"/>
          <w:szCs w:val="22"/>
        </w:rPr>
      </w:pPr>
      <w:proofErr w:type="gramStart"/>
      <w:r w:rsidRPr="006A5BDE">
        <w:rPr>
          <w:rFonts w:ascii="Garamond" w:hAnsi="Garamond" w:cs="Arial"/>
          <w:i/>
          <w:iCs/>
          <w:sz w:val="22"/>
          <w:szCs w:val="22"/>
        </w:rPr>
        <w:t>El recubrimiento de concreto para los refuerzos no deberían</w:t>
      </w:r>
      <w:proofErr w:type="gramEnd"/>
      <w:r w:rsidRPr="006A5BDE">
        <w:rPr>
          <w:rFonts w:ascii="Garamond" w:hAnsi="Garamond" w:cs="Arial"/>
          <w:i/>
          <w:iCs/>
          <w:sz w:val="22"/>
          <w:szCs w:val="22"/>
        </w:rPr>
        <w:t xml:space="preserve"> ser menor de 40% mm en superficies de concreto expuestas a la</w:t>
      </w:r>
      <w:r>
        <w:rPr>
          <w:rFonts w:ascii="Garamond" w:hAnsi="Garamond" w:cs="Arial"/>
          <w:i/>
          <w:iCs/>
          <w:sz w:val="22"/>
          <w:szCs w:val="22"/>
        </w:rPr>
        <w:t xml:space="preserve"> </w:t>
      </w:r>
      <w:r w:rsidRPr="006A5BDE">
        <w:rPr>
          <w:rFonts w:ascii="Garamond" w:hAnsi="Garamond" w:cs="Arial"/>
          <w:i/>
          <w:iCs/>
          <w:sz w:val="22"/>
          <w:szCs w:val="22"/>
        </w:rPr>
        <w:t>intemperie o en contacto con el suelo, ni menor de 20 mm en aquellas que no estén directamente en contacto con el suelo o</w:t>
      </w:r>
      <w:r>
        <w:rPr>
          <w:rFonts w:ascii="Garamond" w:hAnsi="Garamond" w:cs="Arial"/>
          <w:i/>
          <w:iCs/>
          <w:sz w:val="22"/>
          <w:szCs w:val="22"/>
        </w:rPr>
        <w:t xml:space="preserve"> </w:t>
      </w:r>
      <w:r w:rsidRPr="006A5BDE">
        <w:rPr>
          <w:rFonts w:ascii="Garamond" w:hAnsi="Garamond" w:cs="Arial"/>
          <w:i/>
          <w:iCs/>
          <w:sz w:val="22"/>
          <w:szCs w:val="22"/>
        </w:rPr>
        <w:t xml:space="preserve">expuestas </w:t>
      </w:r>
      <w:proofErr w:type="gramStart"/>
      <w:r w:rsidRPr="006A5BDE">
        <w:rPr>
          <w:rFonts w:ascii="Garamond" w:hAnsi="Garamond" w:cs="Arial"/>
          <w:i/>
          <w:iCs/>
          <w:sz w:val="22"/>
          <w:szCs w:val="22"/>
        </w:rPr>
        <w:t>al intemperie</w:t>
      </w:r>
      <w:proofErr w:type="gramEnd"/>
      <w:r w:rsidRPr="006A5BDE">
        <w:rPr>
          <w:rFonts w:ascii="Garamond" w:hAnsi="Garamond" w:cs="Arial"/>
          <w:i/>
          <w:iCs/>
          <w:sz w:val="22"/>
          <w:szCs w:val="22"/>
        </w:rPr>
        <w:t>.</w:t>
      </w:r>
    </w:p>
    <w:p w14:paraId="3C2C731C" w14:textId="77777777" w:rsidR="006A5BDE" w:rsidRPr="006A5BDE" w:rsidRDefault="006A5BDE" w:rsidP="006A5BDE">
      <w:pPr>
        <w:spacing w:after="0" w:line="240" w:lineRule="auto"/>
        <w:jc w:val="both"/>
        <w:rPr>
          <w:rFonts w:ascii="Garamond" w:hAnsi="Garamond" w:cs="Arial"/>
          <w:i/>
          <w:iCs/>
          <w:sz w:val="22"/>
          <w:szCs w:val="22"/>
        </w:rPr>
      </w:pPr>
    </w:p>
    <w:p w14:paraId="5657FA4D" w14:textId="3AD10D37" w:rsidR="006A5BDE" w:rsidRPr="006A5BDE" w:rsidRDefault="006A5BDE" w:rsidP="006A5BDE">
      <w:pPr>
        <w:spacing w:after="0" w:line="240" w:lineRule="auto"/>
        <w:ind w:left="360"/>
        <w:jc w:val="both"/>
        <w:rPr>
          <w:rFonts w:ascii="Garamond" w:hAnsi="Garamond" w:cs="Arial"/>
          <w:i/>
          <w:iCs/>
          <w:sz w:val="22"/>
          <w:szCs w:val="22"/>
        </w:rPr>
      </w:pPr>
      <w:r w:rsidRPr="006A5BDE">
        <w:rPr>
          <w:rFonts w:ascii="Garamond" w:hAnsi="Garamond" w:cs="Arial"/>
          <w:i/>
          <w:iCs/>
          <w:sz w:val="22"/>
          <w:szCs w:val="22"/>
        </w:rPr>
        <w:t xml:space="preserve">Las vigas principales, capitales de columnas, descolgados para corte y </w:t>
      </w:r>
      <w:r w:rsidRPr="006A5BDE">
        <w:rPr>
          <w:rFonts w:ascii="Garamond" w:hAnsi="Garamond" w:cs="Arial"/>
          <w:i/>
          <w:iCs/>
          <w:sz w:val="22"/>
          <w:szCs w:val="22"/>
        </w:rPr>
        <w:t>ábaco</w:t>
      </w:r>
      <w:r w:rsidRPr="006A5BDE">
        <w:rPr>
          <w:rFonts w:ascii="Garamond" w:hAnsi="Garamond" w:cs="Arial"/>
          <w:i/>
          <w:iCs/>
          <w:sz w:val="22"/>
          <w:szCs w:val="22"/>
        </w:rPr>
        <w:t xml:space="preserve"> debieron ser construida </w:t>
      </w:r>
      <w:r w:rsidRPr="006A5BDE">
        <w:rPr>
          <w:rFonts w:ascii="Garamond" w:hAnsi="Garamond" w:cs="Arial"/>
          <w:i/>
          <w:iCs/>
          <w:sz w:val="22"/>
          <w:szCs w:val="22"/>
        </w:rPr>
        <w:t>monolíticamente</w:t>
      </w:r>
      <w:r w:rsidRPr="006A5BDE">
        <w:rPr>
          <w:rFonts w:ascii="Garamond" w:hAnsi="Garamond" w:cs="Arial"/>
          <w:i/>
          <w:iCs/>
          <w:sz w:val="22"/>
          <w:szCs w:val="22"/>
        </w:rPr>
        <w:t xml:space="preserve"> como</w:t>
      </w:r>
      <w:r>
        <w:rPr>
          <w:rFonts w:ascii="Garamond" w:hAnsi="Garamond" w:cs="Arial"/>
          <w:i/>
          <w:iCs/>
          <w:sz w:val="22"/>
          <w:szCs w:val="22"/>
        </w:rPr>
        <w:t xml:space="preserve"> </w:t>
      </w:r>
      <w:r w:rsidRPr="006A5BDE">
        <w:rPr>
          <w:rFonts w:ascii="Garamond" w:hAnsi="Garamond" w:cs="Arial"/>
          <w:i/>
          <w:iCs/>
          <w:sz w:val="22"/>
          <w:szCs w:val="22"/>
        </w:rPr>
        <w:t>parte del diseño de losa</w:t>
      </w:r>
    </w:p>
    <w:p w14:paraId="082A4879" w14:textId="77777777" w:rsidR="006A5BDE" w:rsidRPr="006A5BDE" w:rsidRDefault="006A5BDE" w:rsidP="006A5BDE">
      <w:pPr>
        <w:spacing w:after="0" w:line="240" w:lineRule="auto"/>
        <w:jc w:val="both"/>
        <w:rPr>
          <w:rFonts w:ascii="Garamond" w:hAnsi="Garamond" w:cs="Arial"/>
          <w:i/>
          <w:iCs/>
          <w:sz w:val="22"/>
          <w:szCs w:val="22"/>
        </w:rPr>
      </w:pPr>
    </w:p>
    <w:p w14:paraId="592AFE08" w14:textId="7EFDF2DF"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Algunas columnas no guardan una </w:t>
      </w:r>
      <w:r w:rsidRPr="006A5BDE">
        <w:rPr>
          <w:rFonts w:ascii="Garamond" w:hAnsi="Garamond" w:cs="Arial"/>
          <w:i/>
          <w:iCs/>
          <w:sz w:val="22"/>
          <w:szCs w:val="22"/>
        </w:rPr>
        <w:t>geometría</w:t>
      </w:r>
      <w:r w:rsidRPr="006A5BDE">
        <w:rPr>
          <w:rFonts w:ascii="Garamond" w:hAnsi="Garamond" w:cs="Arial"/>
          <w:i/>
          <w:iCs/>
          <w:sz w:val="22"/>
          <w:szCs w:val="22"/>
        </w:rPr>
        <w:t xml:space="preserve"> adecuada con los planos.</w:t>
      </w:r>
    </w:p>
    <w:p w14:paraId="61605BF6" w14:textId="77777777" w:rsidR="006A5BDE" w:rsidRPr="006A5BDE" w:rsidRDefault="006A5BDE" w:rsidP="006A5BDE">
      <w:pPr>
        <w:spacing w:after="0" w:line="240" w:lineRule="auto"/>
        <w:jc w:val="both"/>
        <w:rPr>
          <w:rFonts w:ascii="Garamond" w:hAnsi="Garamond" w:cs="Arial"/>
          <w:i/>
          <w:iCs/>
          <w:sz w:val="22"/>
          <w:szCs w:val="22"/>
        </w:rPr>
      </w:pPr>
    </w:p>
    <w:p w14:paraId="48B4CB27"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No se cumplieron los recubrimientos establecidos en las especificaciones.</w:t>
      </w:r>
    </w:p>
    <w:p w14:paraId="5AE26864" w14:textId="77777777" w:rsidR="006A5BDE" w:rsidRPr="006A5BDE" w:rsidRDefault="006A5BDE" w:rsidP="006A5BDE">
      <w:pPr>
        <w:spacing w:after="0" w:line="240" w:lineRule="auto"/>
        <w:jc w:val="both"/>
        <w:rPr>
          <w:rFonts w:ascii="Garamond" w:hAnsi="Garamond" w:cs="Arial"/>
          <w:i/>
          <w:iCs/>
          <w:sz w:val="22"/>
          <w:szCs w:val="22"/>
        </w:rPr>
      </w:pPr>
    </w:p>
    <w:p w14:paraId="3ACB9A46" w14:textId="42EED8E4"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No se realizó tratamiento de elementos no estructurales de las </w:t>
      </w:r>
      <w:r w:rsidRPr="006A5BDE">
        <w:rPr>
          <w:rFonts w:ascii="Garamond" w:hAnsi="Garamond" w:cs="Arial"/>
          <w:i/>
          <w:iCs/>
          <w:sz w:val="22"/>
          <w:szCs w:val="22"/>
        </w:rPr>
        <w:t>mamposterías</w:t>
      </w:r>
      <w:r w:rsidRPr="006A5BDE">
        <w:rPr>
          <w:rFonts w:ascii="Garamond" w:hAnsi="Garamond" w:cs="Arial"/>
          <w:i/>
          <w:iCs/>
          <w:sz w:val="22"/>
          <w:szCs w:val="22"/>
        </w:rPr>
        <w:t xml:space="preserve"> según planos estructurales.</w:t>
      </w:r>
    </w:p>
    <w:p w14:paraId="2FEA3005" w14:textId="77777777" w:rsidR="006A5BDE" w:rsidRPr="006A5BDE" w:rsidRDefault="006A5BDE" w:rsidP="006A5BDE">
      <w:pPr>
        <w:spacing w:after="0" w:line="240" w:lineRule="auto"/>
        <w:jc w:val="both"/>
        <w:rPr>
          <w:rFonts w:ascii="Garamond" w:hAnsi="Garamond" w:cs="Arial"/>
          <w:i/>
          <w:iCs/>
          <w:sz w:val="22"/>
          <w:szCs w:val="22"/>
        </w:rPr>
      </w:pPr>
    </w:p>
    <w:p w14:paraId="45A99FE5" w14:textId="691F8AB5" w:rsidR="006A5BDE" w:rsidRPr="006A5BDE" w:rsidRDefault="006A5BDE" w:rsidP="006A5BDE">
      <w:pPr>
        <w:spacing w:after="0" w:line="240" w:lineRule="auto"/>
        <w:ind w:left="360"/>
        <w:jc w:val="both"/>
        <w:rPr>
          <w:rFonts w:ascii="Garamond" w:hAnsi="Garamond" w:cs="Arial"/>
          <w:i/>
          <w:iCs/>
          <w:sz w:val="22"/>
          <w:szCs w:val="22"/>
        </w:rPr>
      </w:pPr>
      <w:r w:rsidRPr="006A5BDE">
        <w:rPr>
          <w:rFonts w:ascii="Garamond" w:hAnsi="Garamond" w:cs="Arial"/>
          <w:i/>
          <w:iCs/>
          <w:sz w:val="22"/>
          <w:szCs w:val="22"/>
        </w:rPr>
        <w:t>Hay varios sitios de concreto mal fundido con fenómeno de hormigueos y concretos añadidos en segunda etapa o resanes en</w:t>
      </w:r>
      <w:r>
        <w:rPr>
          <w:rFonts w:ascii="Garamond" w:hAnsi="Garamond" w:cs="Arial"/>
          <w:i/>
          <w:iCs/>
          <w:sz w:val="22"/>
          <w:szCs w:val="22"/>
        </w:rPr>
        <w:t xml:space="preserve"> </w:t>
      </w:r>
      <w:r w:rsidRPr="006A5BDE">
        <w:rPr>
          <w:rFonts w:ascii="Garamond" w:hAnsi="Garamond" w:cs="Arial"/>
          <w:i/>
          <w:iCs/>
          <w:sz w:val="22"/>
          <w:szCs w:val="22"/>
        </w:rPr>
        <w:t>pañete a elementos estructurales para sellar armaduras expuestas.</w:t>
      </w:r>
    </w:p>
    <w:p w14:paraId="1767FD9E" w14:textId="77777777" w:rsidR="006A5BDE" w:rsidRPr="006A5BDE" w:rsidRDefault="006A5BDE" w:rsidP="006A5BDE">
      <w:pPr>
        <w:spacing w:after="0" w:line="240" w:lineRule="auto"/>
        <w:jc w:val="both"/>
        <w:rPr>
          <w:rFonts w:ascii="Garamond" w:hAnsi="Garamond" w:cs="Arial"/>
          <w:i/>
          <w:iCs/>
          <w:sz w:val="22"/>
          <w:szCs w:val="22"/>
        </w:rPr>
      </w:pPr>
    </w:p>
    <w:p w14:paraId="4A58626A" w14:textId="27EC18DE" w:rsidR="006A5BDE" w:rsidRPr="006A5BDE" w:rsidRDefault="006A5BDE" w:rsidP="006A5BDE">
      <w:pPr>
        <w:pStyle w:val="Prrafodelista"/>
        <w:numPr>
          <w:ilvl w:val="0"/>
          <w:numId w:val="4"/>
        </w:numPr>
        <w:spacing w:after="0" w:line="240" w:lineRule="auto"/>
        <w:jc w:val="both"/>
        <w:rPr>
          <w:rFonts w:ascii="Garamond" w:hAnsi="Garamond" w:cs="Arial"/>
          <w:i/>
          <w:iCs/>
          <w:sz w:val="22"/>
          <w:szCs w:val="22"/>
        </w:rPr>
      </w:pPr>
      <w:r w:rsidRPr="006A5BDE">
        <w:rPr>
          <w:rFonts w:ascii="Garamond" w:hAnsi="Garamond" w:cs="Arial"/>
          <w:i/>
          <w:iCs/>
          <w:sz w:val="22"/>
          <w:szCs w:val="22"/>
        </w:rPr>
        <w:t xml:space="preserve">De </w:t>
      </w:r>
      <w:r w:rsidRPr="006A5BDE">
        <w:rPr>
          <w:rFonts w:ascii="Garamond" w:hAnsi="Garamond" w:cs="Arial"/>
          <w:i/>
          <w:iCs/>
          <w:sz w:val="22"/>
          <w:szCs w:val="22"/>
        </w:rPr>
        <w:t>acuerdo</w:t>
      </w:r>
      <w:r w:rsidRPr="006A5BDE">
        <w:rPr>
          <w:rFonts w:ascii="Garamond" w:hAnsi="Garamond" w:cs="Arial"/>
          <w:i/>
          <w:iCs/>
          <w:sz w:val="22"/>
          <w:szCs w:val="22"/>
        </w:rPr>
        <w:t xml:space="preserve"> con los informes allegados por el Profesional Financiero fueron hechos constitutivo </w:t>
      </w:r>
      <w:proofErr w:type="gramStart"/>
      <w:r w:rsidRPr="006A5BDE">
        <w:rPr>
          <w:rFonts w:ascii="Garamond" w:hAnsi="Garamond" w:cs="Arial"/>
          <w:i/>
          <w:iCs/>
          <w:sz w:val="22"/>
          <w:szCs w:val="22"/>
        </w:rPr>
        <w:t>del incumplimientos</w:t>
      </w:r>
      <w:proofErr w:type="gramEnd"/>
      <w:r w:rsidRPr="006A5BDE">
        <w:rPr>
          <w:rFonts w:ascii="Garamond" w:hAnsi="Garamond" w:cs="Arial"/>
          <w:i/>
          <w:iCs/>
          <w:sz w:val="22"/>
          <w:szCs w:val="22"/>
        </w:rPr>
        <w:t xml:space="preserve"> los</w:t>
      </w:r>
      <w:r w:rsidRPr="006A5BDE">
        <w:rPr>
          <w:rFonts w:ascii="Garamond" w:hAnsi="Garamond" w:cs="Arial"/>
          <w:i/>
          <w:iCs/>
          <w:sz w:val="22"/>
          <w:szCs w:val="22"/>
        </w:rPr>
        <w:t xml:space="preserve"> </w:t>
      </w:r>
      <w:r w:rsidRPr="006A5BDE">
        <w:rPr>
          <w:rFonts w:ascii="Garamond" w:hAnsi="Garamond" w:cs="Arial"/>
          <w:i/>
          <w:iCs/>
          <w:sz w:val="22"/>
          <w:szCs w:val="22"/>
        </w:rPr>
        <w:t>siguientes:</w:t>
      </w:r>
    </w:p>
    <w:p w14:paraId="3BC44BEF" w14:textId="77777777" w:rsidR="006A5BDE" w:rsidRPr="006A5BDE" w:rsidRDefault="006A5BDE" w:rsidP="006A5BDE">
      <w:pPr>
        <w:spacing w:after="0" w:line="240" w:lineRule="auto"/>
        <w:jc w:val="both"/>
        <w:rPr>
          <w:rFonts w:ascii="Garamond" w:hAnsi="Garamond" w:cs="Arial"/>
          <w:i/>
          <w:iCs/>
          <w:sz w:val="22"/>
          <w:szCs w:val="22"/>
        </w:rPr>
      </w:pPr>
    </w:p>
    <w:p w14:paraId="74A1D7FA" w14:textId="60CD3231"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El Contratista no organizo como </w:t>
      </w:r>
      <w:r w:rsidRPr="006A5BDE">
        <w:rPr>
          <w:rFonts w:ascii="Garamond" w:hAnsi="Garamond" w:cs="Arial"/>
          <w:i/>
          <w:iCs/>
          <w:sz w:val="22"/>
          <w:szCs w:val="22"/>
        </w:rPr>
        <w:t>debía</w:t>
      </w:r>
      <w:r w:rsidRPr="006A5BDE">
        <w:rPr>
          <w:rFonts w:ascii="Garamond" w:hAnsi="Garamond" w:cs="Arial"/>
          <w:i/>
          <w:iCs/>
          <w:sz w:val="22"/>
          <w:szCs w:val="22"/>
        </w:rPr>
        <w:t xml:space="preserve"> ni el orden cronológico, ni el consecutivo los comprobantes de egreso.</w:t>
      </w:r>
    </w:p>
    <w:p w14:paraId="7FE78EF2" w14:textId="77777777" w:rsidR="006A5BDE" w:rsidRPr="006A5BDE" w:rsidRDefault="006A5BDE" w:rsidP="006A5BDE">
      <w:pPr>
        <w:spacing w:after="0" w:line="240" w:lineRule="auto"/>
        <w:jc w:val="both"/>
        <w:rPr>
          <w:rFonts w:ascii="Garamond" w:hAnsi="Garamond" w:cs="Arial"/>
          <w:i/>
          <w:iCs/>
          <w:sz w:val="22"/>
          <w:szCs w:val="22"/>
        </w:rPr>
      </w:pPr>
    </w:p>
    <w:p w14:paraId="7163E74D"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No se </w:t>
      </w:r>
      <w:proofErr w:type="spellStart"/>
      <w:r w:rsidRPr="006A5BDE">
        <w:rPr>
          <w:rFonts w:ascii="Garamond" w:hAnsi="Garamond" w:cs="Arial"/>
          <w:i/>
          <w:iCs/>
          <w:sz w:val="22"/>
          <w:szCs w:val="22"/>
        </w:rPr>
        <w:t>registro</w:t>
      </w:r>
      <w:proofErr w:type="spellEnd"/>
      <w:r w:rsidRPr="006A5BDE">
        <w:rPr>
          <w:rFonts w:ascii="Garamond" w:hAnsi="Garamond" w:cs="Arial"/>
          <w:i/>
          <w:iCs/>
          <w:sz w:val="22"/>
          <w:szCs w:val="22"/>
        </w:rPr>
        <w:t xml:space="preserve"> los números de los comprobantes de egreso in la conciliación financiera correspondientes al 40% de Helm</w:t>
      </w:r>
    </w:p>
    <w:p w14:paraId="20AD6BE3"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Bank.</w:t>
      </w:r>
    </w:p>
    <w:p w14:paraId="3810A122" w14:textId="77777777" w:rsidR="006A5BDE" w:rsidRPr="006A5BDE" w:rsidRDefault="006A5BDE" w:rsidP="006A5BDE">
      <w:pPr>
        <w:spacing w:after="0" w:line="240" w:lineRule="auto"/>
        <w:jc w:val="both"/>
        <w:rPr>
          <w:rFonts w:ascii="Garamond" w:hAnsi="Garamond" w:cs="Arial"/>
          <w:i/>
          <w:iCs/>
          <w:sz w:val="22"/>
          <w:szCs w:val="22"/>
        </w:rPr>
      </w:pPr>
    </w:p>
    <w:p w14:paraId="71025BA2"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No respetó la metodología establecida para la ejecución del proyecto.</w:t>
      </w:r>
    </w:p>
    <w:p w14:paraId="02823E3B" w14:textId="77777777" w:rsidR="006A5BDE" w:rsidRPr="006A5BDE" w:rsidRDefault="006A5BDE" w:rsidP="006A5BDE">
      <w:pPr>
        <w:spacing w:after="0" w:line="240" w:lineRule="auto"/>
        <w:jc w:val="both"/>
        <w:rPr>
          <w:rFonts w:ascii="Garamond" w:hAnsi="Garamond" w:cs="Arial"/>
          <w:i/>
          <w:iCs/>
          <w:sz w:val="22"/>
          <w:szCs w:val="22"/>
        </w:rPr>
      </w:pPr>
    </w:p>
    <w:p w14:paraId="599A11F5"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No se aportaron actas del comité de gestión administrativa, por tal motivo no se pudo evidenciar cotizaciones, compras,</w:t>
      </w:r>
    </w:p>
    <w:p w14:paraId="06AFCA83"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contratación y demás actividades realizadas y aportes hechos.</w:t>
      </w:r>
    </w:p>
    <w:p w14:paraId="20F8BA4A" w14:textId="77777777" w:rsidR="006A5BDE" w:rsidRPr="006A5BDE" w:rsidRDefault="006A5BDE" w:rsidP="006A5BDE">
      <w:pPr>
        <w:spacing w:after="0" w:line="240" w:lineRule="auto"/>
        <w:jc w:val="both"/>
        <w:rPr>
          <w:rFonts w:ascii="Garamond" w:hAnsi="Garamond" w:cs="Arial"/>
          <w:i/>
          <w:iCs/>
          <w:sz w:val="22"/>
          <w:szCs w:val="22"/>
        </w:rPr>
      </w:pPr>
    </w:p>
    <w:p w14:paraId="010F734A"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No se </w:t>
      </w:r>
      <w:proofErr w:type="spellStart"/>
      <w:r w:rsidRPr="006A5BDE">
        <w:rPr>
          <w:rFonts w:ascii="Garamond" w:hAnsi="Garamond" w:cs="Arial"/>
          <w:i/>
          <w:iCs/>
          <w:sz w:val="22"/>
          <w:szCs w:val="22"/>
        </w:rPr>
        <w:t>aporto</w:t>
      </w:r>
      <w:proofErr w:type="spellEnd"/>
      <w:r w:rsidRPr="006A5BDE">
        <w:rPr>
          <w:rFonts w:ascii="Garamond" w:hAnsi="Garamond" w:cs="Arial"/>
          <w:i/>
          <w:iCs/>
          <w:sz w:val="22"/>
          <w:szCs w:val="22"/>
        </w:rPr>
        <w:t xml:space="preserve"> comprobantes de pagos de los aportes a la seguridad social de los contratistas como cotizantes</w:t>
      </w:r>
    </w:p>
    <w:p w14:paraId="48C69F85"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independientes.</w:t>
      </w:r>
    </w:p>
    <w:p w14:paraId="06E28FA8" w14:textId="77777777" w:rsidR="006A5BDE" w:rsidRPr="006A5BDE" w:rsidRDefault="006A5BDE" w:rsidP="006A5BDE">
      <w:pPr>
        <w:spacing w:after="0" w:line="240" w:lineRule="auto"/>
        <w:jc w:val="both"/>
        <w:rPr>
          <w:rFonts w:ascii="Garamond" w:hAnsi="Garamond" w:cs="Arial"/>
          <w:i/>
          <w:iCs/>
          <w:sz w:val="22"/>
          <w:szCs w:val="22"/>
        </w:rPr>
      </w:pPr>
    </w:p>
    <w:p w14:paraId="3CADD2E8" w14:textId="777777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Se firmo varios </w:t>
      </w:r>
      <w:proofErr w:type="gramStart"/>
      <w:r w:rsidRPr="006A5BDE">
        <w:rPr>
          <w:rFonts w:ascii="Garamond" w:hAnsi="Garamond" w:cs="Arial"/>
          <w:i/>
          <w:iCs/>
          <w:sz w:val="22"/>
          <w:szCs w:val="22"/>
        </w:rPr>
        <w:t>subcontratos no contemplado</w:t>
      </w:r>
      <w:proofErr w:type="gramEnd"/>
      <w:r w:rsidRPr="006A5BDE">
        <w:rPr>
          <w:rFonts w:ascii="Garamond" w:hAnsi="Garamond" w:cs="Arial"/>
          <w:i/>
          <w:iCs/>
          <w:sz w:val="22"/>
          <w:szCs w:val="22"/>
        </w:rPr>
        <w:t xml:space="preserve"> en la metodología.</w:t>
      </w:r>
    </w:p>
    <w:p w14:paraId="7380F4EE" w14:textId="77777777" w:rsidR="006A5BDE" w:rsidRPr="006A5BDE" w:rsidRDefault="006A5BDE" w:rsidP="006A5BDE">
      <w:pPr>
        <w:spacing w:after="0" w:line="240" w:lineRule="auto"/>
        <w:jc w:val="both"/>
        <w:rPr>
          <w:rFonts w:ascii="Garamond" w:hAnsi="Garamond" w:cs="Arial"/>
          <w:i/>
          <w:iCs/>
          <w:sz w:val="22"/>
          <w:szCs w:val="22"/>
        </w:rPr>
      </w:pPr>
    </w:p>
    <w:p w14:paraId="354148D2" w14:textId="0E92EABA"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No se halla evidencia de </w:t>
      </w:r>
      <w:r w:rsidRPr="006A5BDE">
        <w:rPr>
          <w:rFonts w:ascii="Garamond" w:hAnsi="Garamond" w:cs="Arial"/>
          <w:i/>
          <w:iCs/>
          <w:sz w:val="22"/>
          <w:szCs w:val="22"/>
        </w:rPr>
        <w:t>liquidaciones</w:t>
      </w:r>
      <w:r w:rsidRPr="006A5BDE">
        <w:rPr>
          <w:rFonts w:ascii="Garamond" w:hAnsi="Garamond" w:cs="Arial"/>
          <w:i/>
          <w:iCs/>
          <w:sz w:val="22"/>
          <w:szCs w:val="22"/>
        </w:rPr>
        <w:t xml:space="preserve"> de los subcontratos.</w:t>
      </w:r>
    </w:p>
    <w:p w14:paraId="24936B98" w14:textId="77777777" w:rsidR="006A5BDE" w:rsidRPr="006A5BDE" w:rsidRDefault="006A5BDE" w:rsidP="006A5BDE">
      <w:pPr>
        <w:spacing w:after="0" w:line="240" w:lineRule="auto"/>
        <w:jc w:val="both"/>
        <w:rPr>
          <w:rFonts w:ascii="Garamond" w:hAnsi="Garamond" w:cs="Arial"/>
          <w:i/>
          <w:iCs/>
          <w:sz w:val="22"/>
          <w:szCs w:val="22"/>
        </w:rPr>
      </w:pPr>
    </w:p>
    <w:p w14:paraId="210C8EFF" w14:textId="71A3EA96" w:rsidR="006A5BDE" w:rsidRPr="006A5BDE" w:rsidRDefault="006A5BDE" w:rsidP="006A5BDE">
      <w:pPr>
        <w:spacing w:after="0" w:line="240" w:lineRule="auto"/>
        <w:ind w:left="360"/>
        <w:jc w:val="both"/>
        <w:rPr>
          <w:rFonts w:ascii="Garamond" w:hAnsi="Garamond" w:cs="Arial"/>
          <w:i/>
          <w:iCs/>
          <w:sz w:val="22"/>
          <w:szCs w:val="22"/>
        </w:rPr>
      </w:pPr>
      <w:r w:rsidRPr="006A5BDE">
        <w:rPr>
          <w:rFonts w:ascii="Garamond" w:hAnsi="Garamond" w:cs="Arial"/>
          <w:i/>
          <w:iCs/>
          <w:sz w:val="22"/>
          <w:szCs w:val="22"/>
        </w:rPr>
        <w:t>De los contratos previstos en la metodología FUNFOSOIN firmo varios con mayores valores pagados y otros con saldos</w:t>
      </w:r>
      <w:r>
        <w:rPr>
          <w:rFonts w:ascii="Garamond" w:hAnsi="Garamond" w:cs="Arial"/>
          <w:i/>
          <w:iCs/>
          <w:sz w:val="22"/>
          <w:szCs w:val="22"/>
        </w:rPr>
        <w:t xml:space="preserve"> </w:t>
      </w:r>
      <w:r w:rsidRPr="006A5BDE">
        <w:rPr>
          <w:rFonts w:ascii="Garamond" w:hAnsi="Garamond" w:cs="Arial"/>
          <w:i/>
          <w:iCs/>
          <w:sz w:val="22"/>
          <w:szCs w:val="22"/>
        </w:rPr>
        <w:t>pendientes por pagar.</w:t>
      </w:r>
    </w:p>
    <w:p w14:paraId="79D69EE8" w14:textId="77777777" w:rsidR="006A5BDE" w:rsidRPr="006A5BDE" w:rsidRDefault="006A5BDE" w:rsidP="006A5BDE">
      <w:pPr>
        <w:spacing w:after="0" w:line="240" w:lineRule="auto"/>
        <w:jc w:val="both"/>
        <w:rPr>
          <w:rFonts w:ascii="Garamond" w:hAnsi="Garamond" w:cs="Arial"/>
          <w:i/>
          <w:iCs/>
          <w:sz w:val="22"/>
          <w:szCs w:val="22"/>
        </w:rPr>
      </w:pPr>
    </w:p>
    <w:p w14:paraId="399B150E" w14:textId="223A5514"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No se </w:t>
      </w:r>
      <w:r w:rsidRPr="006A5BDE">
        <w:rPr>
          <w:rFonts w:ascii="Garamond" w:hAnsi="Garamond" w:cs="Arial"/>
          <w:i/>
          <w:iCs/>
          <w:sz w:val="22"/>
          <w:szCs w:val="22"/>
        </w:rPr>
        <w:t>aportó</w:t>
      </w:r>
      <w:r w:rsidRPr="006A5BDE">
        <w:rPr>
          <w:rFonts w:ascii="Garamond" w:hAnsi="Garamond" w:cs="Arial"/>
          <w:i/>
          <w:iCs/>
          <w:sz w:val="22"/>
          <w:szCs w:val="22"/>
        </w:rPr>
        <w:t xml:space="preserve"> actas de inicio, ni actas de liquidación de los subcontratos firmados.</w:t>
      </w:r>
    </w:p>
    <w:p w14:paraId="0D838DC9" w14:textId="77777777" w:rsidR="006A5BDE" w:rsidRPr="006A5BDE" w:rsidRDefault="006A5BDE" w:rsidP="006A5BDE">
      <w:pPr>
        <w:spacing w:after="0" w:line="240" w:lineRule="auto"/>
        <w:jc w:val="both"/>
        <w:rPr>
          <w:rFonts w:ascii="Garamond" w:hAnsi="Garamond" w:cs="Arial"/>
          <w:i/>
          <w:iCs/>
          <w:sz w:val="22"/>
          <w:szCs w:val="22"/>
        </w:rPr>
      </w:pPr>
    </w:p>
    <w:p w14:paraId="0AE30761" w14:textId="7E82CA77" w:rsidR="006A5BDE" w:rsidRP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 xml:space="preserve">Se pagó el servicio de </w:t>
      </w:r>
      <w:r w:rsidRPr="006A5BDE">
        <w:rPr>
          <w:rFonts w:ascii="Garamond" w:hAnsi="Garamond" w:cs="Arial"/>
          <w:i/>
          <w:iCs/>
          <w:sz w:val="22"/>
          <w:szCs w:val="22"/>
        </w:rPr>
        <w:t>celaduría</w:t>
      </w:r>
      <w:r w:rsidRPr="006A5BDE">
        <w:rPr>
          <w:rFonts w:ascii="Garamond" w:hAnsi="Garamond" w:cs="Arial"/>
          <w:i/>
          <w:iCs/>
          <w:sz w:val="22"/>
          <w:szCs w:val="22"/>
        </w:rPr>
        <w:t xml:space="preserve"> a una persona natural no autorizada por la Superintendencia de Vigilancia y Seguridad</w:t>
      </w:r>
    </w:p>
    <w:p w14:paraId="2ABD9944" w14:textId="429EBFEC" w:rsidR="006A5BDE" w:rsidRDefault="006A5BDE" w:rsidP="006A5BDE">
      <w:pPr>
        <w:spacing w:after="0" w:line="240" w:lineRule="auto"/>
        <w:ind w:firstLine="360"/>
        <w:jc w:val="both"/>
        <w:rPr>
          <w:rFonts w:ascii="Garamond" w:hAnsi="Garamond" w:cs="Arial"/>
          <w:i/>
          <w:iCs/>
          <w:sz w:val="22"/>
          <w:szCs w:val="22"/>
        </w:rPr>
      </w:pPr>
      <w:r w:rsidRPr="006A5BDE">
        <w:rPr>
          <w:rFonts w:ascii="Garamond" w:hAnsi="Garamond" w:cs="Arial"/>
          <w:i/>
          <w:iCs/>
          <w:sz w:val="22"/>
          <w:szCs w:val="22"/>
        </w:rPr>
        <w:t>Privada.</w:t>
      </w:r>
    </w:p>
    <w:p w14:paraId="0D361007" w14:textId="77777777" w:rsidR="006A5BDE" w:rsidRPr="006A5BDE" w:rsidRDefault="006A5BDE" w:rsidP="006A5BDE">
      <w:pPr>
        <w:spacing w:after="0" w:line="240" w:lineRule="auto"/>
        <w:jc w:val="both"/>
        <w:rPr>
          <w:rFonts w:ascii="Garamond" w:hAnsi="Garamond" w:cs="Arial"/>
          <w:i/>
          <w:iCs/>
          <w:sz w:val="22"/>
          <w:szCs w:val="22"/>
        </w:rPr>
      </w:pPr>
    </w:p>
    <w:p w14:paraId="275E5FD1" w14:textId="77777777" w:rsidR="002E0C35" w:rsidRDefault="002E0C35" w:rsidP="003E696A">
      <w:pPr>
        <w:spacing w:after="0" w:line="240" w:lineRule="auto"/>
        <w:jc w:val="both"/>
        <w:rPr>
          <w:rFonts w:ascii="Garamond" w:hAnsi="Garamond" w:cs="Arial"/>
          <w:sz w:val="22"/>
          <w:szCs w:val="22"/>
        </w:rPr>
      </w:pPr>
    </w:p>
    <w:p w14:paraId="46E8D5E7" w14:textId="373C6788" w:rsidR="003E696A" w:rsidRPr="00CE5E8E" w:rsidRDefault="002E0C35" w:rsidP="003E696A">
      <w:pPr>
        <w:spacing w:after="0" w:line="240" w:lineRule="auto"/>
        <w:jc w:val="both"/>
        <w:rPr>
          <w:rFonts w:ascii="Garamond" w:hAnsi="Garamond" w:cs="Arial"/>
          <w:sz w:val="22"/>
          <w:szCs w:val="22"/>
          <w:lang w:val="es-CO"/>
        </w:rPr>
      </w:pPr>
      <w:r w:rsidRPr="006A5BDE">
        <w:rPr>
          <w:rFonts w:ascii="Garamond" w:hAnsi="Garamond" w:cs="Arial"/>
          <w:sz w:val="22"/>
          <w:szCs w:val="22"/>
          <w:lang w:val="es-CO"/>
        </w:rPr>
        <w:t xml:space="preserve">Por lo anterior </w:t>
      </w:r>
      <w:r w:rsidR="003E696A" w:rsidRPr="006A5BDE">
        <w:rPr>
          <w:rFonts w:ascii="Garamond" w:hAnsi="Garamond" w:cs="Arial"/>
          <w:sz w:val="22"/>
          <w:szCs w:val="22"/>
          <w:lang w:val="es-CO"/>
        </w:rPr>
        <w:t>el Fondo de Desarrollo Local de Engativá en el año 2018 suscribió el Contrato de Consultoría No. 319-2018, cuyo objeto consistió en “</w:t>
      </w:r>
      <w:r w:rsidR="003E696A" w:rsidRPr="006A5BDE">
        <w:rPr>
          <w:rFonts w:ascii="Garamond" w:hAnsi="Garamond" w:cs="Arial"/>
          <w:i/>
          <w:iCs/>
          <w:sz w:val="22"/>
          <w:szCs w:val="22"/>
          <w:lang w:val="es-CO"/>
        </w:rPr>
        <w:t>Realizar</w:t>
      </w:r>
      <w:r w:rsidR="003E696A" w:rsidRPr="00CE5E8E">
        <w:rPr>
          <w:rFonts w:ascii="Garamond" w:hAnsi="Garamond" w:cs="Arial"/>
          <w:i/>
          <w:iCs/>
          <w:sz w:val="22"/>
          <w:szCs w:val="22"/>
          <w:lang w:val="es-CO"/>
        </w:rPr>
        <w:t xml:space="preserve"> el estudio de patología, análisis de vulnerabilidad sísmica y reforzamiento estructural del salón comunal los monjes, en la localidad de Engativá, Bogotá D.C</w:t>
      </w:r>
      <w:r w:rsidR="003E696A" w:rsidRPr="00CE5E8E">
        <w:rPr>
          <w:rFonts w:ascii="Garamond" w:hAnsi="Garamond" w:cs="Arial"/>
          <w:sz w:val="22"/>
          <w:szCs w:val="22"/>
          <w:lang w:val="es-CO"/>
        </w:rPr>
        <w:t xml:space="preserve">”, mediante el cual se elaboraron los siguientes estudios: </w:t>
      </w:r>
    </w:p>
    <w:p w14:paraId="6D62D0BD" w14:textId="77777777" w:rsidR="003E696A" w:rsidRPr="00CE5E8E" w:rsidRDefault="003E696A" w:rsidP="003E696A">
      <w:pPr>
        <w:numPr>
          <w:ilvl w:val="0"/>
          <w:numId w:val="1"/>
        </w:numPr>
        <w:spacing w:after="0" w:line="240" w:lineRule="auto"/>
        <w:jc w:val="both"/>
        <w:rPr>
          <w:rFonts w:ascii="Garamond" w:hAnsi="Garamond" w:cs="Arial"/>
          <w:sz w:val="22"/>
          <w:szCs w:val="22"/>
          <w:lang w:val="es-CO"/>
        </w:rPr>
      </w:pPr>
      <w:r w:rsidRPr="00CE5E8E">
        <w:rPr>
          <w:rFonts w:ascii="Garamond" w:hAnsi="Garamond" w:cs="Arial"/>
          <w:sz w:val="22"/>
          <w:szCs w:val="22"/>
          <w:lang w:val="es-CO"/>
        </w:rPr>
        <w:t xml:space="preserve">Levantamiento topográfico. </w:t>
      </w:r>
    </w:p>
    <w:p w14:paraId="02EEC9FE" w14:textId="77777777" w:rsidR="003E696A" w:rsidRPr="00CE5E8E" w:rsidRDefault="003E696A" w:rsidP="003E696A">
      <w:pPr>
        <w:numPr>
          <w:ilvl w:val="0"/>
          <w:numId w:val="1"/>
        </w:numPr>
        <w:spacing w:after="0" w:line="240" w:lineRule="auto"/>
        <w:jc w:val="both"/>
        <w:rPr>
          <w:rFonts w:ascii="Garamond" w:hAnsi="Garamond" w:cs="Arial"/>
          <w:sz w:val="22"/>
          <w:szCs w:val="22"/>
          <w:lang w:val="es-CO"/>
        </w:rPr>
      </w:pPr>
      <w:r w:rsidRPr="00CE5E8E">
        <w:rPr>
          <w:rFonts w:ascii="Garamond" w:hAnsi="Garamond" w:cs="Arial"/>
          <w:sz w:val="22"/>
          <w:szCs w:val="22"/>
          <w:lang w:val="es-CO"/>
        </w:rPr>
        <w:t xml:space="preserve">Estudio de suelos. </w:t>
      </w:r>
    </w:p>
    <w:p w14:paraId="1DC7B4F8" w14:textId="77777777" w:rsidR="003E696A" w:rsidRPr="00CE5E8E" w:rsidRDefault="003E696A" w:rsidP="003E696A">
      <w:pPr>
        <w:numPr>
          <w:ilvl w:val="0"/>
          <w:numId w:val="1"/>
        </w:numPr>
        <w:spacing w:after="0" w:line="240" w:lineRule="auto"/>
        <w:jc w:val="both"/>
        <w:rPr>
          <w:rFonts w:ascii="Garamond" w:hAnsi="Garamond" w:cs="Arial"/>
          <w:sz w:val="22"/>
          <w:szCs w:val="22"/>
          <w:lang w:val="es-CO"/>
        </w:rPr>
      </w:pPr>
      <w:r w:rsidRPr="00CE5E8E">
        <w:rPr>
          <w:rFonts w:ascii="Garamond" w:hAnsi="Garamond" w:cs="Arial"/>
          <w:sz w:val="22"/>
          <w:szCs w:val="22"/>
          <w:lang w:val="es-CO"/>
        </w:rPr>
        <w:t xml:space="preserve">Actualización de patología estructural. </w:t>
      </w:r>
    </w:p>
    <w:p w14:paraId="11766192" w14:textId="77777777" w:rsidR="003E696A" w:rsidRPr="00CE5E8E" w:rsidRDefault="003E696A" w:rsidP="003E696A">
      <w:pPr>
        <w:numPr>
          <w:ilvl w:val="0"/>
          <w:numId w:val="1"/>
        </w:numPr>
        <w:spacing w:after="0" w:line="240" w:lineRule="auto"/>
        <w:jc w:val="both"/>
        <w:rPr>
          <w:rFonts w:ascii="Garamond" w:hAnsi="Garamond" w:cs="Arial"/>
          <w:sz w:val="22"/>
          <w:szCs w:val="22"/>
          <w:lang w:val="es-CO"/>
        </w:rPr>
      </w:pPr>
      <w:r w:rsidRPr="00CE5E8E">
        <w:rPr>
          <w:rFonts w:ascii="Garamond" w:hAnsi="Garamond" w:cs="Arial"/>
          <w:sz w:val="22"/>
          <w:szCs w:val="22"/>
          <w:lang w:val="es-CO"/>
        </w:rPr>
        <w:t xml:space="preserve">Análisis de vulnerabilidad sísmica. </w:t>
      </w:r>
    </w:p>
    <w:p w14:paraId="0589CF7F" w14:textId="77777777" w:rsidR="003E696A" w:rsidRPr="00CE5E8E" w:rsidRDefault="003E696A" w:rsidP="003E696A">
      <w:pPr>
        <w:numPr>
          <w:ilvl w:val="0"/>
          <w:numId w:val="1"/>
        </w:numPr>
        <w:spacing w:after="0" w:line="240" w:lineRule="auto"/>
        <w:jc w:val="both"/>
        <w:rPr>
          <w:rFonts w:ascii="Garamond" w:hAnsi="Garamond" w:cs="Arial"/>
          <w:sz w:val="22"/>
          <w:szCs w:val="22"/>
          <w:lang w:val="es-CO"/>
        </w:rPr>
      </w:pPr>
      <w:r w:rsidRPr="00CE5E8E">
        <w:rPr>
          <w:rFonts w:ascii="Garamond" w:hAnsi="Garamond" w:cs="Arial"/>
          <w:sz w:val="22"/>
          <w:szCs w:val="22"/>
          <w:lang w:val="es-CO"/>
        </w:rPr>
        <w:t xml:space="preserve">Diseño de reforzamiento estructural según NSR 10. </w:t>
      </w:r>
    </w:p>
    <w:p w14:paraId="12E9EA1F" w14:textId="77777777" w:rsidR="003E696A" w:rsidRPr="00CE5E8E" w:rsidRDefault="003E696A" w:rsidP="003E696A">
      <w:pPr>
        <w:spacing w:after="0" w:line="240" w:lineRule="auto"/>
        <w:jc w:val="both"/>
        <w:rPr>
          <w:rFonts w:ascii="Garamond" w:hAnsi="Garamond" w:cs="Arial"/>
          <w:sz w:val="22"/>
          <w:szCs w:val="22"/>
          <w:lang w:val="es-CO"/>
        </w:rPr>
      </w:pPr>
    </w:p>
    <w:p w14:paraId="32C75678" w14:textId="77777777" w:rsidR="003E696A" w:rsidRPr="00C472EE" w:rsidRDefault="003E696A" w:rsidP="003E696A">
      <w:pPr>
        <w:spacing w:after="0" w:line="240" w:lineRule="auto"/>
        <w:jc w:val="both"/>
        <w:rPr>
          <w:rFonts w:ascii="Garamond" w:hAnsi="Garamond" w:cs="Arial"/>
          <w:sz w:val="22"/>
          <w:szCs w:val="22"/>
          <w:lang w:val="es-CO"/>
        </w:rPr>
      </w:pPr>
      <w:r w:rsidRPr="00CE5E8E">
        <w:rPr>
          <w:rFonts w:ascii="Garamond" w:hAnsi="Garamond" w:cs="Arial"/>
          <w:sz w:val="22"/>
          <w:szCs w:val="22"/>
          <w:lang w:val="es-CO"/>
        </w:rPr>
        <w:t>Estos documentos son requeridos por las Curadurías Urbanas para el trámite y obtención de la respectiva Licencia de Construcción. Al respecto, se presentaron inconvenientes relacionados con la delimitación de la zona comunal, identificada con RUPI 2673-61, situación que retrasó el trámite y obtención de la respectiva licencia de construcción, situaciones que no fueron imputables al consultor responsable de los respectivos estudios y documentos técnicos; razón por la cual el Fondo de Desarrollo tomó la decisión de liquidar el Contrato 319-2018,</w:t>
      </w:r>
      <w:r w:rsidRPr="00C472EE">
        <w:rPr>
          <w:rFonts w:ascii="Garamond" w:eastAsiaTheme="minorEastAsia" w:hAnsi="Garamond" w:cs="Garamond"/>
          <w:color w:val="000000"/>
          <w:sz w:val="22"/>
          <w:szCs w:val="22"/>
          <w:lang w:val="es-CO" w:eastAsia="es-CO"/>
        </w:rPr>
        <w:t xml:space="preserve"> Una vez resuelta la delimitación de la zona comunal RUPI 2673-61 </w:t>
      </w:r>
      <w:r>
        <w:rPr>
          <w:rFonts w:ascii="Garamond" w:eastAsiaTheme="minorEastAsia" w:hAnsi="Garamond" w:cs="Garamond"/>
          <w:color w:val="000000"/>
          <w:sz w:val="22"/>
          <w:szCs w:val="22"/>
          <w:lang w:val="es-CO" w:eastAsia="es-CO"/>
        </w:rPr>
        <w:t xml:space="preserve">El </w:t>
      </w:r>
      <w:r w:rsidRPr="00C472EE">
        <w:rPr>
          <w:rFonts w:ascii="Garamond" w:hAnsi="Garamond" w:cs="Arial"/>
          <w:sz w:val="22"/>
          <w:szCs w:val="22"/>
          <w:lang w:val="es-CO"/>
        </w:rPr>
        <w:t xml:space="preserve">Fondo de Desarrollo Local de Engativá mediante oficio </w:t>
      </w:r>
      <w:r w:rsidRPr="00C472EE">
        <w:rPr>
          <w:rFonts w:ascii="Garamond" w:hAnsi="Garamond" w:cs="Arial"/>
          <w:b/>
          <w:bCs/>
          <w:sz w:val="22"/>
          <w:szCs w:val="22"/>
          <w:lang w:val="es-CO"/>
        </w:rPr>
        <w:t xml:space="preserve">Radicado No. 20226020630251 (Anexo </w:t>
      </w:r>
      <w:r>
        <w:rPr>
          <w:rFonts w:ascii="Garamond" w:hAnsi="Garamond" w:cs="Arial"/>
          <w:b/>
          <w:bCs/>
          <w:sz w:val="22"/>
          <w:szCs w:val="22"/>
          <w:lang w:val="es-CO"/>
        </w:rPr>
        <w:t>-7</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solicitó anuencia al DADEP, sin embargo, esta solicitud se realizó bajo la modalidad de Reforzamiento Estructural. Al respecto en diferentes consultas realizadas por el Fondo a la Curaduría Urbana No. 2 con el fin de dar claridad sobre la modalidad de solicitud de la respectiva Licencia, manifestaron que bajo la modalidad de </w:t>
      </w:r>
      <w:r w:rsidRPr="00C472EE">
        <w:rPr>
          <w:rFonts w:ascii="Garamond" w:hAnsi="Garamond" w:cs="Arial"/>
          <w:b/>
          <w:bCs/>
          <w:sz w:val="22"/>
          <w:szCs w:val="22"/>
          <w:lang w:val="es-CO"/>
        </w:rPr>
        <w:t xml:space="preserve">Reforzamiento Estructural </w:t>
      </w:r>
      <w:r w:rsidRPr="00C472EE">
        <w:rPr>
          <w:rFonts w:ascii="Garamond" w:hAnsi="Garamond" w:cs="Arial"/>
          <w:sz w:val="22"/>
          <w:szCs w:val="22"/>
          <w:lang w:val="es-CO"/>
        </w:rPr>
        <w:t xml:space="preserve">no era posible aprobar las actividades de obra requeridas para culminar el proyecto arquitectónico inconcluso, toda vez que el diseño arquitectónico y los planos aprobados en la gestión anterior, bajo la licencia de construcción 07-02-0795, fueron elaborados en concordancia a la norma NSR-98, la cual presentó cambios en relación a los requisitos de seguridad humana, requisitos de evacuación, parámetros de resistencia al fuego, entre otros, respecto a la norma vigente NSR-10, implicando cambios al proyecto arquitectónico aprobado inicialmente. De manera que, mediante oficio </w:t>
      </w:r>
      <w:r w:rsidRPr="00C472EE">
        <w:rPr>
          <w:rFonts w:ascii="Garamond" w:hAnsi="Garamond" w:cs="Arial"/>
          <w:b/>
          <w:bCs/>
          <w:sz w:val="22"/>
          <w:szCs w:val="22"/>
          <w:lang w:val="es-CO"/>
        </w:rPr>
        <w:t xml:space="preserve">No. 20226020990281 (Anexo </w:t>
      </w:r>
      <w:r>
        <w:rPr>
          <w:rFonts w:ascii="Garamond" w:hAnsi="Garamond" w:cs="Arial"/>
          <w:b/>
          <w:bCs/>
          <w:sz w:val="22"/>
          <w:szCs w:val="22"/>
          <w:lang w:val="es-CO"/>
        </w:rPr>
        <w:t>-8</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se solicitó modificación a la anuencia por la modalidad de reforzamiento estructural y ampliación, conforme a las indicaciones de la Curaduría Urbana No. 2, emitiendo en esa instancia el DADEP respectiva anuencia con oficio </w:t>
      </w:r>
      <w:r w:rsidRPr="00C472EE">
        <w:rPr>
          <w:rFonts w:ascii="Garamond" w:hAnsi="Garamond" w:cs="Arial"/>
          <w:b/>
          <w:bCs/>
          <w:sz w:val="22"/>
          <w:szCs w:val="22"/>
          <w:lang w:val="es-CO"/>
        </w:rPr>
        <w:t>No. 20236010002822</w:t>
      </w:r>
      <w:r w:rsidRPr="00C472EE">
        <w:rPr>
          <w:rFonts w:ascii="Garamond" w:hAnsi="Garamond" w:cs="Arial"/>
          <w:sz w:val="22"/>
          <w:szCs w:val="22"/>
          <w:lang w:val="es-CO"/>
        </w:rPr>
        <w:t xml:space="preserve">. </w:t>
      </w:r>
      <w:r w:rsidRPr="00C472EE">
        <w:rPr>
          <w:rFonts w:ascii="Garamond" w:hAnsi="Garamond" w:cs="Arial"/>
          <w:b/>
          <w:bCs/>
          <w:sz w:val="22"/>
          <w:szCs w:val="22"/>
          <w:lang w:val="es-CO"/>
        </w:rPr>
        <w:t xml:space="preserve">(Anexo </w:t>
      </w:r>
      <w:r>
        <w:rPr>
          <w:rFonts w:ascii="Garamond" w:hAnsi="Garamond" w:cs="Arial"/>
          <w:b/>
          <w:bCs/>
          <w:sz w:val="22"/>
          <w:szCs w:val="22"/>
          <w:lang w:val="es-CO"/>
        </w:rPr>
        <w:t>-9</w:t>
      </w:r>
      <w:r w:rsidRPr="00C472EE">
        <w:rPr>
          <w:rFonts w:ascii="Garamond" w:hAnsi="Garamond" w:cs="Arial"/>
          <w:b/>
          <w:bCs/>
          <w:sz w:val="22"/>
          <w:szCs w:val="22"/>
          <w:lang w:val="es-CO"/>
        </w:rPr>
        <w:t xml:space="preserve">). </w:t>
      </w:r>
    </w:p>
    <w:p w14:paraId="244CFDB5" w14:textId="77777777" w:rsidR="003E696A" w:rsidRPr="00C472EE"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Seguidamente, el 10 de noviembre de 2022 el Fondo de Desarrollo local de Engativá solicitó ante la curaduría Urbana No 2 reparto estatal para iniciar la solicitud y trámite de la respectiva Licencia de Construcción, siendo asignada ésta a la Curaduría Urbana No. 3 para adelantar la gestión del trámite en mención. Al respecto, el 17 de noviembre de 2022, mediante apoderado, el Fondo de Desarrollo Local de Engativá allegó ante la Curaduría Urbana No. 3 la documentación requerida para iniciar el trámite correspondiente; una vez revisada la documentación técnica y jurídica por parte del profesional encargado de la recepción de los mismos, manifestó que para el trámite de reforzamiento se requería de un revisor independiente de los diseños estructurales, en cumplimiento a lo dispuesto en el artículo 3 de la Ley 1796 de 2016, al Título I - Tabla I 4.3.1 de la NSR-10, al Decreto 945 de 2017, a la Resolución 1025 de 2021 y a la Resolución 1026 de 2021. Una vez validadas las disposiciones técnicas establecidas en las leyes, decretos, reglamentos y normas aplicables relacionadas con que el </w:t>
      </w:r>
      <w:r w:rsidRPr="00C472EE">
        <w:rPr>
          <w:rFonts w:ascii="Garamond" w:hAnsi="Garamond" w:cs="Arial"/>
          <w:i/>
          <w:iCs/>
          <w:sz w:val="22"/>
          <w:szCs w:val="22"/>
          <w:lang w:val="es-CO"/>
        </w:rPr>
        <w:t>“Revisor independiente de los diseños estructurales”</w:t>
      </w:r>
      <w:r w:rsidRPr="00C472EE">
        <w:rPr>
          <w:rFonts w:ascii="Garamond" w:hAnsi="Garamond" w:cs="Arial"/>
          <w:sz w:val="22"/>
          <w:szCs w:val="22"/>
          <w:lang w:val="es-CO"/>
        </w:rPr>
        <w:t xml:space="preserve">, el Fondo de Desarrollo Local de Engativá consideró que dicho requisito no era exigible ni aplicable al predio del Salón comunal Los Monjes, lo anterior en razón a que el área total construida </w:t>
      </w:r>
      <w:r w:rsidRPr="00C472EE">
        <w:rPr>
          <w:rFonts w:ascii="Garamond" w:hAnsi="Garamond" w:cs="Arial"/>
          <w:sz w:val="22"/>
          <w:szCs w:val="22"/>
          <w:lang w:val="es-CO"/>
        </w:rPr>
        <w:lastRenderedPageBreak/>
        <w:t xml:space="preserve">(557.92 m2) según el diseño arquitectónico, no superaba los 2000 metros cuadrados de área construida que establece la ley para tal exigencia. Al respecto, mediante oficio </w:t>
      </w:r>
      <w:r w:rsidRPr="00C472EE">
        <w:rPr>
          <w:rFonts w:ascii="Garamond" w:hAnsi="Garamond" w:cs="Arial"/>
          <w:b/>
          <w:bCs/>
          <w:sz w:val="22"/>
          <w:szCs w:val="22"/>
          <w:lang w:val="es-CO"/>
        </w:rPr>
        <w:t xml:space="preserve">20226020963161 (Anexo </w:t>
      </w:r>
      <w:r>
        <w:rPr>
          <w:rFonts w:ascii="Garamond" w:hAnsi="Garamond" w:cs="Arial"/>
          <w:b/>
          <w:bCs/>
          <w:sz w:val="22"/>
          <w:szCs w:val="22"/>
          <w:lang w:val="es-CO"/>
        </w:rPr>
        <w:t>-10</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se solicitó a la Curaduría Urbana No. 3 que la documentación aportada por el Fondo de Desarrollo Local de Engativá fuera aceptada, con el fin de que el trámite de la solicitud de la respectiva Licencia de Construcción quedara radicado en debida forma. </w:t>
      </w:r>
    </w:p>
    <w:p w14:paraId="38ADC080" w14:textId="77777777" w:rsidR="003E696A"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Por otra parte, mediante oficio </w:t>
      </w:r>
      <w:r w:rsidRPr="00C472EE">
        <w:rPr>
          <w:rFonts w:ascii="Garamond" w:hAnsi="Garamond" w:cs="Arial"/>
          <w:b/>
          <w:bCs/>
          <w:sz w:val="22"/>
          <w:szCs w:val="22"/>
          <w:lang w:val="es-CO"/>
        </w:rPr>
        <w:t>20236020011091 (Anexo</w:t>
      </w:r>
      <w:r>
        <w:rPr>
          <w:rFonts w:ascii="Garamond" w:hAnsi="Garamond" w:cs="Arial"/>
          <w:b/>
          <w:bCs/>
          <w:sz w:val="22"/>
          <w:szCs w:val="22"/>
          <w:lang w:val="es-CO"/>
        </w:rPr>
        <w:t>-11</w:t>
      </w:r>
      <w:r w:rsidRPr="00C472EE">
        <w:rPr>
          <w:rFonts w:ascii="Garamond" w:hAnsi="Garamond" w:cs="Arial"/>
          <w:b/>
          <w:bCs/>
          <w:sz w:val="22"/>
          <w:szCs w:val="22"/>
          <w:lang w:val="es-CO"/>
        </w:rPr>
        <w:t xml:space="preserve">) </w:t>
      </w:r>
      <w:r w:rsidRPr="00C472EE">
        <w:rPr>
          <w:rFonts w:ascii="Garamond" w:hAnsi="Garamond" w:cs="Arial"/>
          <w:sz w:val="22"/>
          <w:szCs w:val="22"/>
          <w:lang w:val="es-CO"/>
        </w:rPr>
        <w:t>se reiteró solicitud de consulta a la SDP en relación con la norma urbana aplicable predio público ubicado en RUPI 2673-61 - Zona de Equipamiento Comunal Los Monjes, lo anterior en razón a que en la Curaduría Urbana No. 2, manifestó que no era claro lo dispuesto en el nuevo POT frente a los predios públicos de cesión.</w:t>
      </w:r>
    </w:p>
    <w:p w14:paraId="7CBECDBB" w14:textId="77777777" w:rsidR="003E696A" w:rsidRPr="00C472EE"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Mediante oficio </w:t>
      </w:r>
      <w:r w:rsidRPr="00C472EE">
        <w:rPr>
          <w:rFonts w:ascii="Garamond" w:hAnsi="Garamond" w:cs="Arial"/>
          <w:b/>
          <w:bCs/>
          <w:sz w:val="22"/>
          <w:szCs w:val="22"/>
          <w:lang w:val="es-CO"/>
        </w:rPr>
        <w:t>20236020009361 (Anexo</w:t>
      </w:r>
      <w:r>
        <w:rPr>
          <w:rFonts w:ascii="Garamond" w:hAnsi="Garamond" w:cs="Arial"/>
          <w:b/>
          <w:bCs/>
          <w:sz w:val="22"/>
          <w:szCs w:val="22"/>
          <w:lang w:val="es-CO"/>
        </w:rPr>
        <w:t xml:space="preserve"> 12</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se remitió derecho de petición a la Curaduría Urbana No. 3, relacionado con el revisor independiente de los diseños estructurales, lo anterior en razón a que según el cuadro de áreas descrito en los diseños arquitectónicos aportados para el trámite, no se requería una revisión independiente de los diseños estructurales, dado que el área total construida del proyecto corresponde a 577.92 metros cuadrados, siendo esta inferior al área establecida por los reglamentos y/o normas que obligan a una revisión independiente de los diseños estructurales. </w:t>
      </w:r>
    </w:p>
    <w:p w14:paraId="3EE779F7" w14:textId="77777777" w:rsidR="003E696A" w:rsidRPr="00C472EE"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Además, el Fondo de Desarrollo Local de Engativá adelantó la consolidación de la documentación requerida para la radicación ante la Curaduría Urbana No. 3,</w:t>
      </w:r>
      <w:r w:rsidRPr="00C472EE">
        <w:rPr>
          <w:rFonts w:ascii="Garamond" w:eastAsiaTheme="minorEastAsia" w:hAnsi="Garamond" w:cs="Garamond"/>
          <w:color w:val="000000"/>
          <w:sz w:val="22"/>
          <w:szCs w:val="22"/>
          <w:lang w:val="es-CO" w:eastAsia="es-CO"/>
        </w:rPr>
        <w:t xml:space="preserve"> </w:t>
      </w:r>
      <w:r w:rsidRPr="00C472EE">
        <w:rPr>
          <w:rFonts w:ascii="Garamond" w:hAnsi="Garamond" w:cs="Arial"/>
          <w:sz w:val="22"/>
          <w:szCs w:val="22"/>
          <w:lang w:val="es-CO"/>
        </w:rPr>
        <w:t xml:space="preserve">Ante el cambio de los Curadores Urbanos que se presentó en febrero de 2023, la antigua Curaduría Urbana No. 1 fue designada como Curaduría Urbana No. 3 de manera que El Fondo de Desarrollo Local de Engativá el 05 de abril de 2023 radicó ante la nueva Curaduría Urbana No. 3 solicitud de licencia de construcción con el objetivo de que esta expida el acto administrativo que apruebe las obras requeridas para culminar la edificación de la sede comunal del barrio Los Monjes RUPI 2673-61, asignando a este trámite el número de expediente 11001-3-23-0487. El 25 de abril de 2023 La Curaduría Urbana emitió </w:t>
      </w:r>
      <w:r w:rsidRPr="00C472EE">
        <w:rPr>
          <w:rFonts w:ascii="Garamond" w:hAnsi="Garamond" w:cs="Arial"/>
          <w:b/>
          <w:bCs/>
          <w:sz w:val="22"/>
          <w:szCs w:val="22"/>
          <w:lang w:val="es-CO"/>
        </w:rPr>
        <w:t>observaciones (Anexo</w:t>
      </w:r>
      <w:r>
        <w:rPr>
          <w:rFonts w:ascii="Garamond" w:hAnsi="Garamond" w:cs="Arial"/>
          <w:b/>
          <w:bCs/>
          <w:sz w:val="22"/>
          <w:szCs w:val="22"/>
          <w:lang w:val="es-CO"/>
        </w:rPr>
        <w:t xml:space="preserve"> 13</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frente a la propuesta arquitectónica, seguridad humana, estudio de suelos, análisis de vulnerabilidad, planos estructurales, documentos jurídicos entre otras. </w:t>
      </w:r>
    </w:p>
    <w:p w14:paraId="513EDC76" w14:textId="77777777" w:rsidR="003E696A" w:rsidRPr="00C472EE"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Teniendo en cuenta que el objeto del Contrato de Consultoría 319-2018 consistió en el estudio de patología, análisis de vulnerabilidad sísmica y reforzamiento estructural y en este no se contempló la actualización y/o modificación del diseño arquitectónico aprobado bajo la Licencia anterior 07-02-0795, y que conforme a las observaciones de la Curaduría Urbana No. 3, en cumplimiento de las normas vigentes se requiere para el proyecto lo siguiente: </w:t>
      </w:r>
    </w:p>
    <w:p w14:paraId="739C6BA3" w14:textId="77777777" w:rsidR="003E696A" w:rsidRPr="00C472EE" w:rsidRDefault="003E696A" w:rsidP="003E696A">
      <w:pPr>
        <w:numPr>
          <w:ilvl w:val="0"/>
          <w:numId w:val="2"/>
        </w:numPr>
        <w:spacing w:after="0" w:line="240" w:lineRule="auto"/>
        <w:jc w:val="both"/>
        <w:rPr>
          <w:rFonts w:ascii="Garamond" w:hAnsi="Garamond" w:cs="Arial"/>
          <w:sz w:val="22"/>
          <w:szCs w:val="22"/>
          <w:lang w:val="es-CO"/>
        </w:rPr>
      </w:pPr>
      <w:proofErr w:type="spellStart"/>
      <w:r w:rsidRPr="00C472EE">
        <w:rPr>
          <w:rFonts w:ascii="Garamond" w:hAnsi="Garamond" w:cs="Arial"/>
          <w:sz w:val="22"/>
          <w:szCs w:val="22"/>
          <w:lang w:val="es-CO"/>
        </w:rPr>
        <w:t>Shut</w:t>
      </w:r>
      <w:proofErr w:type="spellEnd"/>
      <w:r w:rsidRPr="00C472EE">
        <w:rPr>
          <w:rFonts w:ascii="Garamond" w:hAnsi="Garamond" w:cs="Arial"/>
          <w:sz w:val="22"/>
          <w:szCs w:val="22"/>
          <w:lang w:val="es-CO"/>
        </w:rPr>
        <w:t xml:space="preserve"> de basuras (Diseño arquitectónico y estructuras con respectivos planos) </w:t>
      </w:r>
    </w:p>
    <w:p w14:paraId="52DA4513" w14:textId="77777777" w:rsidR="003E696A" w:rsidRPr="00C472EE" w:rsidRDefault="003E696A" w:rsidP="003E696A">
      <w:pPr>
        <w:numPr>
          <w:ilvl w:val="0"/>
          <w:numId w:val="2"/>
        </w:num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Tanque de almacenamiento de agua, sí se contempla subterráneo, este debe estar libre del tránsito de personas. </w:t>
      </w:r>
    </w:p>
    <w:p w14:paraId="1A98C34B" w14:textId="77777777" w:rsidR="003E696A" w:rsidRPr="00C472EE" w:rsidRDefault="003E696A" w:rsidP="003E696A">
      <w:pPr>
        <w:numPr>
          <w:ilvl w:val="0"/>
          <w:numId w:val="2"/>
        </w:num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La escalera aprobada en la gestión anterior se con templó en abanico y se construyó según lo aprobado, sin embargo, esta no es permitida para los subgrupos de ocupación (L-3) Lugares de reunión y (C-1) Oficinas. De manera que se debe plantear un diseño en dos tramos con descanso con su respectivo cálculo estructural, memorias y planos. </w:t>
      </w:r>
    </w:p>
    <w:p w14:paraId="7188E278" w14:textId="77777777" w:rsidR="003E696A" w:rsidRPr="00C472EE" w:rsidRDefault="003E696A" w:rsidP="003E696A">
      <w:pPr>
        <w:numPr>
          <w:ilvl w:val="0"/>
          <w:numId w:val="2"/>
        </w:num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Definición de parámetros de resistencia al fuego para elementos estructurales en cumplimiento del título J.3.4 y J.3.5 de NSR-10 </w:t>
      </w:r>
    </w:p>
    <w:p w14:paraId="2B6507B6" w14:textId="77777777" w:rsidR="003E696A" w:rsidRPr="00C472EE" w:rsidRDefault="003E696A" w:rsidP="003E696A">
      <w:pPr>
        <w:numPr>
          <w:ilvl w:val="0"/>
          <w:numId w:val="2"/>
        </w:num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Definición de parámetros de resistencia al fuego para elementos no estructurales según J.3.5 de NSR-10. </w:t>
      </w:r>
    </w:p>
    <w:p w14:paraId="5DE59D2B" w14:textId="77777777" w:rsidR="003E696A" w:rsidRPr="00C472EE" w:rsidRDefault="003E696A" w:rsidP="003E696A">
      <w:pPr>
        <w:spacing w:after="0" w:line="240" w:lineRule="auto"/>
        <w:jc w:val="both"/>
        <w:rPr>
          <w:rFonts w:ascii="Garamond" w:hAnsi="Garamond" w:cs="Arial"/>
          <w:sz w:val="22"/>
          <w:szCs w:val="22"/>
          <w:lang w:val="es-CO"/>
        </w:rPr>
      </w:pPr>
    </w:p>
    <w:p w14:paraId="4CCB6279" w14:textId="77777777" w:rsidR="003E696A" w:rsidRPr="00C472EE"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Conforme a lo expuesto anteriormente y a falta varios requisitos observados por la Curaduría Urbana No. 3 y que estos no se contemplaron dentro del alcance técnico del contrato de consultoría inicial (319-2018), el 05 de junio de 2023 se solicitó prorroga a la Curaduría con el fin de ampliar el plazo por término de quince (15) días hábiles para dar cumplimiento y contestación a los requerimientos contenidos en el acta de observaciones, haciendo uso de los profesionales del Fondo de Desarrollo. </w:t>
      </w:r>
    </w:p>
    <w:p w14:paraId="318D8C5B" w14:textId="77777777" w:rsidR="003E696A" w:rsidRPr="00C472EE"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De esta forma, el 05 de julio el Fondo de Desarrollo presentó respuesta </w:t>
      </w:r>
      <w:r w:rsidRPr="00C472EE">
        <w:rPr>
          <w:rFonts w:ascii="Garamond" w:hAnsi="Garamond" w:cs="Arial"/>
          <w:b/>
          <w:bCs/>
          <w:sz w:val="22"/>
          <w:szCs w:val="22"/>
          <w:lang w:val="es-CO"/>
        </w:rPr>
        <w:t>(Anexo</w:t>
      </w:r>
      <w:r>
        <w:rPr>
          <w:rFonts w:ascii="Garamond" w:hAnsi="Garamond" w:cs="Arial"/>
          <w:b/>
          <w:bCs/>
          <w:sz w:val="22"/>
          <w:szCs w:val="22"/>
          <w:lang w:val="es-CO"/>
        </w:rPr>
        <w:t xml:space="preserve"> 14</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al acta de observaciones mediante oficio, sin embargo, estas no fueron atendidas de manera satisfactoria por lo cual la Curaduría solicitó aclaraciones y alcance frente a lo contestado. </w:t>
      </w:r>
    </w:p>
    <w:p w14:paraId="1E4E5514" w14:textId="77777777" w:rsidR="003E696A"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 xml:space="preserve">Con corte 12 de septiembre de 2023, el Fondo avanzó en las aclaraciones </w:t>
      </w:r>
      <w:r w:rsidRPr="00C472EE">
        <w:rPr>
          <w:rFonts w:ascii="Garamond" w:hAnsi="Garamond" w:cs="Arial"/>
          <w:b/>
          <w:bCs/>
          <w:sz w:val="22"/>
          <w:szCs w:val="22"/>
          <w:lang w:val="es-CO"/>
        </w:rPr>
        <w:t>(Anexo</w:t>
      </w:r>
      <w:r>
        <w:rPr>
          <w:rFonts w:ascii="Garamond" w:hAnsi="Garamond" w:cs="Arial"/>
          <w:b/>
          <w:bCs/>
          <w:sz w:val="22"/>
          <w:szCs w:val="22"/>
          <w:lang w:val="es-CO"/>
        </w:rPr>
        <w:t xml:space="preserve"> 15</w:t>
      </w:r>
      <w:r w:rsidRPr="00C472EE">
        <w:rPr>
          <w:rFonts w:ascii="Garamond" w:hAnsi="Garamond" w:cs="Arial"/>
          <w:b/>
          <w:bCs/>
          <w:sz w:val="22"/>
          <w:szCs w:val="22"/>
          <w:lang w:val="es-CO"/>
        </w:rPr>
        <w:t xml:space="preserve">) </w:t>
      </w:r>
      <w:r w:rsidRPr="00C472EE">
        <w:rPr>
          <w:rFonts w:ascii="Garamond" w:hAnsi="Garamond" w:cs="Arial"/>
          <w:sz w:val="22"/>
          <w:szCs w:val="22"/>
          <w:lang w:val="es-CO"/>
        </w:rPr>
        <w:t xml:space="preserve">en lo que tiene que ver con el cumplimiento del Título K NSR-10, a falta de la definición de los parámetros de resistencia al fuego y elaboración del nuevo diseño estructural de la escalera con su respectiva memoria de cálculo y </w:t>
      </w:r>
      <w:r w:rsidRPr="00C472EE">
        <w:rPr>
          <w:rFonts w:ascii="Garamond" w:hAnsi="Garamond" w:cs="Arial"/>
          <w:sz w:val="22"/>
          <w:szCs w:val="22"/>
          <w:lang w:val="es-CO"/>
        </w:rPr>
        <w:lastRenderedPageBreak/>
        <w:t>planos correspondientes. Al respecto, no se atendieron de manera satisfactoria las observaciones presentadas por la Curaduría Urbana No 3. Para dar continuidad con el trámite en el mismo punto sin generar reproceso en cuanto a revisión de documentación, se requiere de solicitar ante la Curaduría Urbana No. 3 traslado del expediente, pagar expensas de cargo fijo y reiniciar términos como si fuera un trámite nuevo.</w:t>
      </w:r>
    </w:p>
    <w:p w14:paraId="3E22A7D3" w14:textId="77777777" w:rsidR="003E696A" w:rsidRDefault="003E696A" w:rsidP="003E696A">
      <w:pPr>
        <w:spacing w:after="0" w:line="240" w:lineRule="auto"/>
        <w:jc w:val="both"/>
        <w:rPr>
          <w:rFonts w:ascii="Garamond" w:hAnsi="Garamond" w:cs="Arial"/>
          <w:sz w:val="22"/>
          <w:szCs w:val="22"/>
          <w:lang w:val="es-CO"/>
        </w:rPr>
      </w:pPr>
    </w:p>
    <w:p w14:paraId="528D0F09" w14:textId="77777777" w:rsidR="003E696A" w:rsidRDefault="003E696A" w:rsidP="003E696A">
      <w:pPr>
        <w:spacing w:after="0" w:line="240" w:lineRule="auto"/>
        <w:jc w:val="both"/>
        <w:rPr>
          <w:rFonts w:ascii="Garamond" w:hAnsi="Garamond" w:cs="Arial"/>
          <w:sz w:val="22"/>
          <w:szCs w:val="22"/>
          <w:lang w:val="es-CO"/>
        </w:rPr>
      </w:pPr>
      <w:r w:rsidRPr="00C472EE">
        <w:rPr>
          <w:rFonts w:ascii="Garamond" w:hAnsi="Garamond" w:cs="Arial"/>
          <w:sz w:val="22"/>
          <w:szCs w:val="22"/>
          <w:lang w:val="es-CO"/>
        </w:rPr>
        <w:t>A la fecha, el Fondo de Desarrollo Local de Engativá no cuenta con un rubro presupuestal y/o concepto de gasto, al que se pueda imputar los costos de las expensas del cargo fijo y cargo variable requeridos por la Curaduría Urbana para el traslado del expediente con el fin de continuar con el trámite y obtención de la respectiva Licencia de Construcción.</w:t>
      </w:r>
    </w:p>
    <w:p w14:paraId="7E192698" w14:textId="77777777" w:rsidR="00BC6C0E" w:rsidRPr="003E696A" w:rsidRDefault="00BC6C0E">
      <w:pPr>
        <w:rPr>
          <w:lang w:val="es-CO"/>
        </w:rPr>
      </w:pPr>
    </w:p>
    <w:sectPr w:rsidR="00BC6C0E" w:rsidRPr="003E696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C0DF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0956B7"/>
    <w:multiLevelType w:val="hybridMultilevel"/>
    <w:tmpl w:val="EF902C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C77A6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A6A7DA0"/>
    <w:multiLevelType w:val="hybridMultilevel"/>
    <w:tmpl w:val="A61E36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04036898">
    <w:abstractNumId w:val="0"/>
  </w:num>
  <w:num w:numId="2" w16cid:durableId="1328829854">
    <w:abstractNumId w:val="2"/>
  </w:num>
  <w:num w:numId="3" w16cid:durableId="2022579985">
    <w:abstractNumId w:val="1"/>
  </w:num>
  <w:num w:numId="4" w16cid:durableId="1252619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6A"/>
    <w:rsid w:val="000C49E1"/>
    <w:rsid w:val="002E0C35"/>
    <w:rsid w:val="003E696A"/>
    <w:rsid w:val="00466B69"/>
    <w:rsid w:val="006474DB"/>
    <w:rsid w:val="006A5BDE"/>
    <w:rsid w:val="006A7304"/>
    <w:rsid w:val="00724526"/>
    <w:rsid w:val="009A7462"/>
    <w:rsid w:val="009C3DDC"/>
    <w:rsid w:val="00AE6D58"/>
    <w:rsid w:val="00BC6C0E"/>
    <w:rsid w:val="00C84E09"/>
    <w:rsid w:val="00E27F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04190"/>
  <w15:chartTrackingRefBased/>
  <w15:docId w15:val="{4E0C4EB6-F61A-418F-9BFF-4D2397058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696A"/>
    <w:pPr>
      <w:suppressAutoHyphens/>
      <w:spacing w:after="200" w:line="276" w:lineRule="auto"/>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3E696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3E696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3E696A"/>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3E696A"/>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3E696A"/>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3E696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696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696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696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696A"/>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3E696A"/>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3E696A"/>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3E696A"/>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3E696A"/>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3E696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696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696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696A"/>
    <w:rPr>
      <w:rFonts w:eastAsiaTheme="majorEastAsia" w:cstheme="majorBidi"/>
      <w:color w:val="272727" w:themeColor="text1" w:themeTint="D8"/>
    </w:rPr>
  </w:style>
  <w:style w:type="paragraph" w:styleId="Ttulo">
    <w:name w:val="Title"/>
    <w:basedOn w:val="Normal"/>
    <w:next w:val="Normal"/>
    <w:link w:val="TtuloCar"/>
    <w:uiPriority w:val="10"/>
    <w:qFormat/>
    <w:rsid w:val="003E69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696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696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696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696A"/>
    <w:pPr>
      <w:spacing w:before="160"/>
      <w:jc w:val="center"/>
    </w:pPr>
    <w:rPr>
      <w:i/>
      <w:iCs/>
      <w:color w:val="404040" w:themeColor="text1" w:themeTint="BF"/>
    </w:rPr>
  </w:style>
  <w:style w:type="character" w:customStyle="1" w:styleId="CitaCar">
    <w:name w:val="Cita Car"/>
    <w:basedOn w:val="Fuentedeprrafopredeter"/>
    <w:link w:val="Cita"/>
    <w:uiPriority w:val="29"/>
    <w:rsid w:val="003E696A"/>
    <w:rPr>
      <w:i/>
      <w:iCs/>
      <w:color w:val="404040" w:themeColor="text1" w:themeTint="BF"/>
    </w:rPr>
  </w:style>
  <w:style w:type="paragraph" w:styleId="Prrafodelista">
    <w:name w:val="List Paragraph"/>
    <w:basedOn w:val="Normal"/>
    <w:uiPriority w:val="34"/>
    <w:qFormat/>
    <w:rsid w:val="003E696A"/>
    <w:pPr>
      <w:ind w:left="720"/>
      <w:contextualSpacing/>
    </w:pPr>
  </w:style>
  <w:style w:type="character" w:styleId="nfasisintenso">
    <w:name w:val="Intense Emphasis"/>
    <w:basedOn w:val="Fuentedeprrafopredeter"/>
    <w:uiPriority w:val="21"/>
    <w:qFormat/>
    <w:rsid w:val="003E696A"/>
    <w:rPr>
      <w:i/>
      <w:iCs/>
      <w:color w:val="2E74B5" w:themeColor="accent1" w:themeShade="BF"/>
    </w:rPr>
  </w:style>
  <w:style w:type="paragraph" w:styleId="Citadestacada">
    <w:name w:val="Intense Quote"/>
    <w:basedOn w:val="Normal"/>
    <w:next w:val="Normal"/>
    <w:link w:val="CitadestacadaCar"/>
    <w:uiPriority w:val="30"/>
    <w:qFormat/>
    <w:rsid w:val="003E696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3E696A"/>
    <w:rPr>
      <w:i/>
      <w:iCs/>
      <w:color w:val="2E74B5" w:themeColor="accent1" w:themeShade="BF"/>
    </w:rPr>
  </w:style>
  <w:style w:type="character" w:styleId="Referenciaintensa">
    <w:name w:val="Intense Reference"/>
    <w:basedOn w:val="Fuentedeprrafopredeter"/>
    <w:uiPriority w:val="32"/>
    <w:qFormat/>
    <w:rsid w:val="003E696A"/>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6</Pages>
  <Words>3223</Words>
  <Characters>17731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Jurídica Engativa</dc:creator>
  <cp:keywords/>
  <dc:description/>
  <cp:lastModifiedBy>Jurídica Engativa</cp:lastModifiedBy>
  <cp:revision>2</cp:revision>
  <dcterms:created xsi:type="dcterms:W3CDTF">2026-06-05T16:43:00Z</dcterms:created>
  <dcterms:modified xsi:type="dcterms:W3CDTF">2026-06-05T18:24:00Z</dcterms:modified>
</cp:coreProperties>
</file>